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 Display" w:hAnsi="Aptos Display"/>
          <w:b/>
          <w:color w:val="1F4E79"/>
          <w:sz w:val="40"/>
        </w:rPr>
        <w:t>YCMT EU Partner Developer — Getting Started Guide</w:t>
      </w:r>
    </w:p>
    <w:p>
      <w:pPr>
        <w:jc w:val="center"/>
      </w:pPr>
      <w:r>
        <w:rPr>
          <w:i/>
          <w:color w:val="595959"/>
          <w:sz w:val="20"/>
        </w:rPr>
        <w:t>Partner-facing integration starter guide | YCMT EU | v1.0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Field</w:t>
            </w:r>
          </w:p>
        </w:tc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Value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Document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60_YCMT_EU_PartnerDev_Getting_Started_v1_0.md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Audience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Partner application developers, partner technical leads, partner QA teams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Scope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YCMT EU customer-facing integration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v1.0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Status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Draft for partner onboarding use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API family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Authentication API + Customer-Context Core API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Excludes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Internal YCMT platform architecture, internal compliance decisioning, internal identifiers, internal databases, internal gateway policies</w:t>
            </w:r>
          </w:p>
        </w:tc>
      </w:tr>
    </w:tbl>
    <w:p/>
    <w:p>
      <w:pPr>
        <w:pStyle w:val="Heading1"/>
      </w:pPr>
      <w:r>
        <w:t>1. Purpose</w:t>
      </w:r>
    </w:p>
    <w:p>
      <w:r>
        <w:rPr>
          <w:b w:val="0"/>
        </w:rPr>
        <w:t>This guide helps a partner development team start integrating a branded customer application with the YCMT EU white-label remittance platform.</w:t>
      </w:r>
    </w:p>
    <w:p>
      <w:r>
        <w:rPr>
          <w:b w:val="0"/>
        </w:rPr>
        <w:t>It explains:</w:t>
      </w:r>
    </w:p>
    <w:p>
      <w:pPr>
        <w:pStyle w:val="ListBullet"/>
      </w:pPr>
      <w:r>
        <w:rPr>
          <w:b w:val="0"/>
        </w:rPr>
        <w:t>What the partner application must build.</w:t>
      </w:r>
    </w:p>
    <w:p>
      <w:pPr>
        <w:pStyle w:val="ListBullet"/>
      </w:pPr>
      <w:r>
        <w:rPr>
          <w:b w:val="0"/>
        </w:rPr>
        <w:t>Which YCMT APIs the partner application calls.</w:t>
      </w:r>
    </w:p>
    <w:p>
      <w:pPr>
        <w:pStyle w:val="ListBullet"/>
      </w:pPr>
      <w:r>
        <w:rPr>
          <w:b w:val="0"/>
        </w:rPr>
        <w:t>What credentials and headers are required.</w:t>
      </w:r>
    </w:p>
    <w:p>
      <w:pPr>
        <w:pStyle w:val="ListBullet"/>
      </w:pPr>
      <w:r>
        <w:rPr>
          <w:b w:val="0"/>
        </w:rPr>
        <w:t>The recommended integration sequence.</w:t>
      </w:r>
    </w:p>
    <w:p>
      <w:pPr>
        <w:pStyle w:val="ListBullet"/>
      </w:pPr>
      <w:r>
        <w:rPr>
          <w:b w:val="0"/>
        </w:rPr>
        <w:t>How to complete the first sandbox calls.</w:t>
      </w:r>
    </w:p>
    <w:p>
      <w:pPr>
        <w:pStyle w:val="ListBullet"/>
      </w:pPr>
      <w:r>
        <w:rPr>
          <w:b w:val="0"/>
        </w:rPr>
        <w:t>What must be tested before production activation.</w:t>
      </w:r>
    </w:p>
    <w:p>
      <w:r>
        <w:rPr>
          <w:b w:val="0"/>
        </w:rPr>
        <w:t xml:space="preserve">This document is intentionally practical and partner-facing. It does </w:t>
      </w:r>
      <w:r>
        <w:rPr>
          <w:b/>
        </w:rPr>
        <w:t>not</w:t>
      </w:r>
      <w:r>
        <w:rPr>
          <w:b w:val="0"/>
        </w:rPr>
        <w:t xml:space="preserve"> describe YCMT internal systems or internal compliance decisioning.</w:t>
      </w:r>
    </w:p>
    <w:p>
      <w:pPr>
        <w:pStyle w:val="Heading1"/>
      </w:pPr>
      <w:r>
        <w:t>2. Integration model in one page</w:t>
      </w:r>
    </w:p>
    <w:p>
      <w:r>
        <w:rPr>
          <w:b w:val="0"/>
        </w:rPr>
        <w:t>The partner application provides the branded customer experience. YCMT provides the regulated money transfer service behind that experience.</w:t>
      </w:r>
    </w:p>
    <w:p>
      <w:r>
        <w:rPr>
          <w:b w:val="0"/>
        </w:rPr>
        <w:t>The partner application is responsible for:</w:t>
      </w:r>
    </w:p>
    <w:p>
      <w:pPr>
        <w:pStyle w:val="ListBullet"/>
      </w:pPr>
      <w:r>
        <w:rPr>
          <w:b w:val="0"/>
        </w:rPr>
        <w:t>Presenting the user interface to the customer.</w:t>
      </w:r>
    </w:p>
    <w:p>
      <w:pPr>
        <w:pStyle w:val="ListBullet"/>
      </w:pPr>
      <w:r>
        <w:rPr>
          <w:b w:val="0"/>
        </w:rPr>
        <w:t>Calling YCMT APIs using the documented request formats.</w:t>
      </w:r>
    </w:p>
    <w:p>
      <w:pPr>
        <w:pStyle w:val="ListBullet"/>
      </w:pPr>
      <w:r>
        <w:rPr>
          <w:b w:val="0"/>
        </w:rPr>
        <w:t>Safely storing and forwarding customer access tokens.</w:t>
      </w:r>
    </w:p>
    <w:p>
      <w:pPr>
        <w:pStyle w:val="ListBullet"/>
      </w:pPr>
      <w:r>
        <w:rPr>
          <w:b w:val="0"/>
        </w:rPr>
        <w:t>Displaying YCMT-provided statuses, errors, and remediation instructions.</w:t>
      </w:r>
    </w:p>
    <w:p>
      <w:pPr>
        <w:pStyle w:val="ListBullet"/>
      </w:pPr>
      <w:r>
        <w:rPr>
          <w:b w:val="0"/>
        </w:rPr>
        <w:t>Guiding the customer through onboarding, KYC, beneficiary creation, quote review, transfer confirmation, funding, and status tracking.</w:t>
      </w:r>
    </w:p>
    <w:p>
      <w:pPr>
        <w:pStyle w:val="ListBullet"/>
      </w:pPr>
      <w:r>
        <w:rPr>
          <w:b w:val="0"/>
        </w:rPr>
        <w:t>Handling sandbox testing and go-live readiness checks.</w:t>
      </w:r>
    </w:p>
    <w:p>
      <w:r>
        <w:rPr>
          <w:b w:val="0"/>
        </w:rPr>
        <w:t>YCMT is responsible for:</w:t>
      </w:r>
    </w:p>
    <w:p>
      <w:pPr>
        <w:pStyle w:val="ListBullet"/>
      </w:pPr>
      <w:r>
        <w:rPr>
          <w:b w:val="0"/>
        </w:rPr>
        <w:t>Customer authentication and token issuance.</w:t>
      </w:r>
    </w:p>
    <w:p>
      <w:pPr>
        <w:pStyle w:val="ListBullet"/>
      </w:pPr>
      <w:r>
        <w:rPr>
          <w:b w:val="0"/>
        </w:rPr>
        <w:t>Customer identity and KYC decisions.</w:t>
      </w:r>
    </w:p>
    <w:p>
      <w:pPr>
        <w:pStyle w:val="ListBullet"/>
      </w:pPr>
      <w:r>
        <w:rPr>
          <w:b w:val="0"/>
        </w:rPr>
        <w:t>Sanctions, AML, fraud, customer-status, and transaction controls.</w:t>
      </w:r>
    </w:p>
    <w:p>
      <w:pPr>
        <w:pStyle w:val="ListBullet"/>
      </w:pPr>
      <w:r>
        <w:rPr>
          <w:b w:val="0"/>
        </w:rPr>
        <w:t>Quote acceptance validation.</w:t>
      </w:r>
    </w:p>
    <w:p>
      <w:pPr>
        <w:pStyle w:val="ListBullet"/>
      </w:pPr>
      <w:r>
        <w:rPr>
          <w:b w:val="0"/>
        </w:rPr>
        <w:t>Transfer approval and execution.</w:t>
      </w:r>
    </w:p>
    <w:p>
      <w:pPr>
        <w:pStyle w:val="ListBullet"/>
      </w:pPr>
      <w:r>
        <w:rPr>
          <w:b w:val="0"/>
        </w:rPr>
        <w:t>Funding, safeguarding, settlement, cancellation, refund, and reporting controls.</w:t>
      </w:r>
    </w:p>
    <w:p>
      <w:r>
        <w:rPr>
          <w:b w:val="0"/>
        </w:rPr>
        <w:t>The partner must not attempt to bypass YCMT controls or create regulated actions outside the documented APIs.</w:t>
      </w:r>
    </w:p>
    <w:p>
      <w:pPr>
        <w:pStyle w:val="Heading1"/>
      </w:pPr>
      <w:r>
        <w:t>3. What the partner application will integrate</w:t>
      </w:r>
    </w:p>
    <w:p>
      <w:r>
        <w:rPr>
          <w:b w:val="0"/>
        </w:rPr>
        <w:t>The partner application integrates with three practical surfaces.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Surface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Used for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Typical caller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Authentication API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registration, login, token refresh, logout, password reset, identifier management, device registration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Partner app / customer-facing frontend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Customer-Context Core API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Profile, KYC, beneficiaries, quotes, disclosures, transfers, funding, status tracking, cancellation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Partner app / customer-facing frontend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Optional partner backend components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Quote signing, webhook receipt, operational reporting, where applicable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Partner backend</w:t>
            </w:r>
          </w:p>
        </w:tc>
      </w:tr>
    </w:tbl>
    <w:p/>
    <w:p>
      <w:r>
        <w:rPr>
          <w:b w:val="0"/>
        </w:rPr>
        <w:t>This Getting Started guide focuses on the first two surfaces. Quote signing and webhooks are covered in the separate Security and Signing Guide.</w:t>
      </w:r>
    </w:p>
    <w:p>
      <w:pPr>
        <w:pStyle w:val="Heading1"/>
      </w:pPr>
      <w:r>
        <w:t>4. YCMT EU environments</w:t>
      </w:r>
    </w:p>
    <w:p>
      <w:r>
        <w:rPr>
          <w:b w:val="0"/>
        </w:rPr>
        <w:t>YCMT provides separate environments for testing and production.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Environment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Purpose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Typical base URL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Sandbox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Development, QA, test data, conformance testing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https://sandbox.api.eu.yescash.example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Production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Live customer traffic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Provided during production activation</w:t>
            </w:r>
          </w:p>
        </w:tc>
      </w:tr>
    </w:tbl>
    <w:p/>
    <w:p>
      <w:r>
        <w:rPr>
          <w:b w:val="0"/>
        </w:rPr>
        <w:t>The sandbox URL above is a placeholder format. YCMT onboarding will provide the actual environment URLs.</w:t>
      </w:r>
    </w:p>
    <w:p>
      <w:r>
        <w:rPr>
          <w:b w:val="0"/>
        </w:rPr>
        <w:t>Do not use production credentials in sandbox, and do not use sandbox credentials in production.</w:t>
      </w:r>
    </w:p>
    <w:p>
      <w:pPr>
        <w:pStyle w:val="Heading1"/>
      </w:pPr>
      <w:r>
        <w:t>5. Credentials and access material</w:t>
      </w:r>
    </w:p>
    <w:p>
      <w:r>
        <w:rPr>
          <w:b w:val="0"/>
        </w:rPr>
        <w:t>Before development starts, YCMT will issue the partner onboarding package.</w:t>
      </w:r>
    </w:p>
    <w:p>
      <w:r>
        <w:rPr>
          <w:b w:val="0"/>
        </w:rPr>
        <w:t>The package normally includes: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Used for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Partner application identifier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Identifies the partner application in YCMT onboarding and support communications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Sandbox API key or subscription key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Allows the partner app to call YCMT sandbox APIs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Sandbox base URL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Base URL for sandbox requests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Test customer data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Approved fictional customers for testing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Test corridor data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Supported sandbox origin/destination and payout-method combinations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Test scenario guide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Positive and negative scenarios required before go-live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Support contact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Technical escalation route during integration</w:t>
            </w:r>
          </w:p>
        </w:tc>
      </w:tr>
    </w:tbl>
    <w:p/>
    <w:p>
      <w:r>
        <w:rPr>
          <w:b w:val="0"/>
        </w:rPr>
        <w:t>Production credentials are issued only after YCMT approves the partner’s technical and operational readiness.</w:t>
      </w:r>
    </w:p>
    <w:p>
      <w:pPr>
        <w:pStyle w:val="Heading1"/>
      </w:pPr>
      <w:r>
        <w:t>6. Common request headers</w:t>
      </w:r>
    </w:p>
    <w:p>
      <w:r>
        <w:rPr>
          <w:b w:val="0"/>
        </w:rPr>
        <w:t>Every API request should include the headers required by the endpoint.</w:t>
      </w:r>
    </w:p>
    <w:p>
      <w:r>
        <w:rPr>
          <w:b w:val="0"/>
        </w:rPr>
        <w:t>Typical headers: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X-Correlation-Id: &lt;uuid-v4-generated-by-partner-app&gt;</w:t>
      </w:r>
    </w:p>
    <w:p>
      <w:pPr>
        <w:pStyle w:val="CodeBlock"/>
      </w:pPr>
      <w:r>
        <w:t>Ocp-Apim-Subscription-Key: &lt;partner-api-key&gt;</w:t>
      </w:r>
    </w:p>
    <w:p>
      <w:r>
        <w:rPr>
          <w:b w:val="0"/>
        </w:rPr>
        <w:t>Customer-authenticated endpoints also require:</w:t>
      </w:r>
    </w:p>
    <w:p>
      <w:pPr>
        <w:pStyle w:val="CodeBlock"/>
      </w:pPr>
      <w:r>
        <w:t>Authorization: Bearer &lt;customer-access-token&gt;</w:t>
      </w:r>
    </w:p>
    <w:p>
      <w:r>
        <w:rPr>
          <w:b w:val="0"/>
        </w:rPr>
        <w:t>Idempotent write endpoints also require:</w:t>
      </w:r>
    </w:p>
    <w:p>
      <w:pPr>
        <w:pStyle w:val="CodeBlock"/>
      </w:pPr>
      <w:r>
        <w:t>Idempotency-Key: &lt;uuid-v4-generated-per-business-action&gt;</w:t>
      </w:r>
    </w:p>
    <w:p>
      <w:pPr>
        <w:pStyle w:val="Heading2"/>
      </w:pPr>
      <w:r>
        <w:t>Header rules</w:t>
      </w:r>
    </w:p>
    <w:p>
      <w:pPr>
        <w:pStyle w:val="ListBullet"/>
      </w:pPr>
      <w:r>
        <w:rPr>
          <w:b w:val="0"/>
        </w:rPr>
        <w:t xml:space="preserve">Generate a new </w:t>
      </w:r>
      <w:r>
        <w:rPr>
          <w:rFonts w:ascii="Courier New" w:hAnsi="Courier New" w:eastAsia="Courier New"/>
          <w:sz w:val="18"/>
        </w:rPr>
        <w:t>X-Correlation-Id</w:t>
      </w:r>
      <w:r>
        <w:rPr>
          <w:b w:val="0"/>
        </w:rPr>
        <w:t xml:space="preserve"> for each logical customer action or request chain.</w:t>
      </w:r>
    </w:p>
    <w:p>
      <w:pPr>
        <w:pStyle w:val="ListBullet"/>
      </w:pPr>
      <w:r>
        <w:rPr>
          <w:b w:val="0"/>
        </w:rPr>
        <w:t xml:space="preserve">Reuse the same </w:t>
      </w:r>
      <w:r>
        <w:rPr>
          <w:rFonts w:ascii="Courier New" w:hAnsi="Courier New" w:eastAsia="Courier New"/>
          <w:sz w:val="18"/>
        </w:rPr>
        <w:t>Idempotency-Key</w:t>
      </w:r>
      <w:r>
        <w:rPr>
          <w:b w:val="0"/>
        </w:rPr>
        <w:t xml:space="preserve"> only when retrying the same business action.</w:t>
      </w:r>
    </w:p>
    <w:p>
      <w:pPr>
        <w:pStyle w:val="ListBullet"/>
      </w:pPr>
      <w:r>
        <w:rPr>
          <w:b w:val="0"/>
        </w:rPr>
        <w:t>Never log full access tokens, refresh tokens, OTPs, passwords, private keys, or device signing material.</w:t>
      </w:r>
    </w:p>
    <w:p>
      <w:pPr>
        <w:pStyle w:val="ListBullet"/>
      </w:pPr>
      <w:r>
        <w:rPr>
          <w:b w:val="0"/>
        </w:rPr>
        <w:t>Always send JSON unless an endpoint explicitly says otherwise.</w:t>
      </w:r>
    </w:p>
    <w:p>
      <w:pPr>
        <w:pStyle w:val="Heading1"/>
      </w:pPr>
      <w:r>
        <w:t>7. Recommended integration sequence</w:t>
      </w:r>
    </w:p>
    <w:p>
      <w:r>
        <w:rPr>
          <w:b w:val="0"/>
        </w:rPr>
        <w:t>Build the integration in this order.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Step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Build area</w:t>
            </w:r>
          </w:p>
        </w:tc>
        <w:tc>
          <w:tcPr>
            <w:tcW w:type="dxa" w:w="336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Goal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Environment setup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Configure sandbox base URL, API key, logging, correlation IDs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Registration and login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Register a test customer and obtain access/refresh tokens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Token refresh and logout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Refresh access tokens and terminate sessions correctly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profile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Submit and read customer profile information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5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KYC session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Start KYC and handle KYC status updates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Device registration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Register the customer device where required for transfer confirmation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7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Beneficiaries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Add, list, view, and archive beneficiaries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8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Quote and disclosure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Retrieve or submit quote information, show disclosure, accept quote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9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Transfer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Submit, confirm, fund, and track a transfer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10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Cancellation/status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Test cancellation, transfer status polling, refund/status handling</w:t>
            </w:r>
          </w:p>
        </w:tc>
      </w:tr>
      <w:tr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11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Errors and retries</w:t>
            </w:r>
          </w:p>
        </w:tc>
        <w:tc>
          <w:tcPr>
            <w:tcW w:type="dxa" w:w="336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Implement error handling, idempotency, pagination, rate-limit behaviour</w:t>
            </w:r>
          </w:p>
        </w:tc>
      </w:tr>
      <w:tr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12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Sandbox certification</w:t>
            </w:r>
          </w:p>
        </w:tc>
        <w:tc>
          <w:tcPr>
            <w:tcW w:type="dxa" w:w="336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Complete required positive and negative scenarios</w:t>
            </w:r>
          </w:p>
        </w:tc>
      </w:tr>
    </w:tbl>
    <w:p/>
    <w:p>
      <w:r>
        <w:rPr>
          <w:b w:val="0"/>
        </w:rPr>
        <w:t>Do not start production activation before completing the sandbox and go-live checklist.</w:t>
      </w:r>
    </w:p>
    <w:p>
      <w:pPr>
        <w:pStyle w:val="Heading1"/>
      </w:pPr>
      <w:r>
        <w:t>8. Customer journey overview</w:t>
      </w:r>
    </w:p>
    <w:p>
      <w:r>
        <w:rPr>
          <w:b w:val="0"/>
        </w:rPr>
        <w:t>A typical new-customer journey is:</w:t>
      </w:r>
    </w:p>
    <w:p>
      <w:pPr>
        <w:pStyle w:val="CodeBlock"/>
      </w:pPr>
      <w:r>
        <w:t>1. Customer opens partner app</w:t>
      </w:r>
    </w:p>
    <w:p>
      <w:pPr>
        <w:pStyle w:val="CodeBlock"/>
      </w:pPr>
      <w:r>
        <w:t>2. Customer registers or logs in</w:t>
      </w:r>
    </w:p>
    <w:p>
      <w:pPr>
        <w:pStyle w:val="CodeBlock"/>
      </w:pPr>
      <w:r>
        <w:t>3. Partner app receives customer tokens</w:t>
      </w:r>
    </w:p>
    <w:p>
      <w:pPr>
        <w:pStyle w:val="CodeBlock"/>
      </w:pPr>
      <w:r>
        <w:t>4. Customer completes profile</w:t>
      </w:r>
    </w:p>
    <w:p>
      <w:pPr>
        <w:pStyle w:val="CodeBlock"/>
      </w:pPr>
      <w:r>
        <w:t>5. Customer completes KYC</w:t>
      </w:r>
    </w:p>
    <w:p>
      <w:pPr>
        <w:pStyle w:val="CodeBlock"/>
      </w:pPr>
      <w:r>
        <w:t>6. Customer registers device if required</w:t>
      </w:r>
    </w:p>
    <w:p>
      <w:pPr>
        <w:pStyle w:val="CodeBlock"/>
      </w:pPr>
      <w:r>
        <w:t>7. Customer creates or selects beneficiary</w:t>
      </w:r>
    </w:p>
    <w:p>
      <w:pPr>
        <w:pStyle w:val="CodeBlock"/>
      </w:pPr>
      <w:r>
        <w:t>8. Customer reviews quote and disclosure</w:t>
      </w:r>
    </w:p>
    <w:p>
      <w:pPr>
        <w:pStyle w:val="CodeBlock"/>
      </w:pPr>
      <w:r>
        <w:t>9. Customer accepts quote</w:t>
      </w:r>
    </w:p>
    <w:p>
      <w:pPr>
        <w:pStyle w:val="CodeBlock"/>
      </w:pPr>
      <w:r>
        <w:t>10. Customer submits and confirms transfer</w:t>
      </w:r>
    </w:p>
    <w:p>
      <w:pPr>
        <w:pStyle w:val="CodeBlock"/>
      </w:pPr>
      <w:r>
        <w:t>11. Customer completes funding flow</w:t>
      </w:r>
    </w:p>
    <w:p>
      <w:pPr>
        <w:pStyle w:val="CodeBlock"/>
      </w:pPr>
      <w:r>
        <w:t>12. Partner app polls transfer status and shows updates</w:t>
      </w:r>
    </w:p>
    <w:p>
      <w:r>
        <w:rPr>
          <w:b w:val="0"/>
        </w:rPr>
        <w:t>The partner application must not create shortcuts around YCMT-controlled onboarding, KYC, quote acceptance, transfer confirmation, or funding steps.</w:t>
      </w:r>
    </w:p>
    <w:p>
      <w:pPr>
        <w:pStyle w:val="Heading1"/>
      </w:pPr>
      <w:r>
        <w:t>9. First sandbox call — health check</w:t>
      </w:r>
    </w:p>
    <w:p>
      <w:r>
        <w:rPr>
          <w:b w:val="0"/>
        </w:rPr>
        <w:t>Use the health endpoint to confirm that the base URL, network access, and API key are configured.</w:t>
      </w:r>
    </w:p>
    <w:p>
      <w:r>
        <w:rPr>
          <w:b w:val="0"/>
        </w:rPr>
        <w:t>Example:</w:t>
      </w:r>
    </w:p>
    <w:p>
      <w:pPr>
        <w:pStyle w:val="CodeBlock"/>
      </w:pPr>
      <w:r>
        <w:t>GET /v1/auth/health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X-Correlation-Id: 2c3eb391-57e1-4312-a59d-85f9df38cf62</w:t>
      </w:r>
    </w:p>
    <w:p>
      <w:pPr>
        <w:pStyle w:val="CodeBlock"/>
      </w:pPr>
      <w:r>
        <w:t>Ocp-Apim-Subscription-Key: &lt;sandbox-api-key&gt;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"status": "ok",</w:t>
      </w:r>
    </w:p>
    <w:p>
      <w:pPr>
        <w:pStyle w:val="CodeBlock"/>
      </w:pPr>
      <w:r>
        <w:t xml:space="preserve">  "service": "YCMT Authentication API",</w:t>
      </w:r>
    </w:p>
    <w:p>
      <w:pPr>
        <w:pStyle w:val="CodeBlock"/>
      </w:pPr>
      <w:r>
        <w:t xml:space="preserve">  "timestamp": "2026-05-12T10:15:00Z"</w:t>
      </w:r>
    </w:p>
    <w:p>
      <w:pPr>
        <w:pStyle w:val="CodeBlock"/>
      </w:pPr>
      <w:r>
        <w:t>}</w:t>
      </w:r>
    </w:p>
    <w:p>
      <w:r>
        <w:rPr>
          <w:b w:val="0"/>
        </w:rPr>
        <w:t>If this call fails, check:</w:t>
      </w:r>
    </w:p>
    <w:p>
      <w:pPr>
        <w:pStyle w:val="ListBullet"/>
      </w:pPr>
      <w:r>
        <w:rPr>
          <w:b w:val="0"/>
        </w:rPr>
        <w:t>Base URL.</w:t>
      </w:r>
    </w:p>
    <w:p>
      <w:pPr>
        <w:pStyle w:val="ListBullet"/>
      </w:pPr>
      <w:r>
        <w:rPr>
          <w:b w:val="0"/>
        </w:rPr>
        <w:t>API key.</w:t>
      </w:r>
    </w:p>
    <w:p>
      <w:pPr>
        <w:pStyle w:val="ListBullet"/>
      </w:pPr>
      <w:r>
        <w:rPr>
          <w:b w:val="0"/>
        </w:rPr>
        <w:t>Network allow-listing, if applicable.</w:t>
      </w:r>
    </w:p>
    <w:p>
      <w:pPr>
        <w:pStyle w:val="ListBullet"/>
      </w:pPr>
      <w:r>
        <w:rPr>
          <w:b w:val="0"/>
        </w:rPr>
        <w:t>TLS certificate validation.</w:t>
      </w:r>
    </w:p>
    <w:p>
      <w:pPr>
        <w:pStyle w:val="ListBullet"/>
      </w:pPr>
      <w:r>
        <w:rPr>
          <w:b w:val="0"/>
        </w:rPr>
        <w:t>Request headers.</w:t>
      </w:r>
    </w:p>
    <w:p>
      <w:pPr>
        <w:pStyle w:val="Heading1"/>
      </w:pPr>
      <w:r>
        <w:t>10. First customer login flow</w:t>
      </w:r>
    </w:p>
    <w:p>
      <w:r>
        <w:rPr>
          <w:b w:val="0"/>
        </w:rPr>
        <w:t>The login flow is two-step.</w:t>
      </w:r>
    </w:p>
    <w:p>
      <w:pPr>
        <w:pStyle w:val="CodeBlock"/>
      </w:pPr>
      <w:r>
        <w:t>POST /v1/auth/start</w:t>
      </w:r>
    </w:p>
    <w:p>
      <w:pPr>
        <w:pStyle w:val="CodeBlock"/>
      </w:pPr>
      <w:r>
        <w:t>POST /v1/auth/login</w:t>
      </w:r>
    </w:p>
    <w:p>
      <w:pPr>
        <w:pStyle w:val="Heading2"/>
      </w:pPr>
      <w:r>
        <w:t>Step 1 — start login</w:t>
      </w:r>
    </w:p>
    <w:p>
      <w:r>
        <w:rPr>
          <w:b w:val="0"/>
        </w:rPr>
        <w:t>The partner app sends the customer’s login identifier.</w:t>
      </w:r>
    </w:p>
    <w:p>
      <w:pPr>
        <w:pStyle w:val="CodeBlock"/>
      </w:pPr>
      <w:r>
        <w:t>POST /v1/auth/start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X-Correlation-Id: 93f0f2a3-9d4f-43c7-a3c6-9d02c4a65f2a</w:t>
      </w:r>
    </w:p>
    <w:p>
      <w:pPr>
        <w:pStyle w:val="CodeBlock"/>
      </w:pPr>
      <w:r>
        <w:t>Ocp-Apim-Subscription-Key: &lt;sandbox-api-key&gt;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"identifier": "alice.martinez@example.com"</w:t>
      </w:r>
    </w:p>
    <w:p>
      <w:pPr>
        <w:pStyle w:val="CodeBlock"/>
      </w:pPr>
      <w:r>
        <w:t>}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"loginAttemptId": "lat_01HXAMPLELOGINATTEMPT",</w:t>
      </w:r>
    </w:p>
    <w:p>
      <w:pPr>
        <w:pStyle w:val="CodeBlock"/>
      </w:pPr>
      <w:r>
        <w:t xml:space="preserve">  "nextStep": "PASSWORD_REQUIRED"</w:t>
      </w:r>
    </w:p>
    <w:p>
      <w:pPr>
        <w:pStyle w:val="CodeBlock"/>
      </w:pPr>
      <w:r>
        <w:t>}</w:t>
      </w:r>
    </w:p>
    <w:p>
      <w:pPr>
        <w:pStyle w:val="Heading2"/>
      </w:pPr>
      <w:r>
        <w:t>Step 2 — complete login</w:t>
      </w:r>
    </w:p>
    <w:p>
      <w:pPr>
        <w:pStyle w:val="CodeBlock"/>
      </w:pPr>
      <w:r>
        <w:t>POST /v1/auth/login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X-Correlation-Id: 93f0f2a3-9d4f-43c7-a3c6-9d02c4a65f2a</w:t>
      </w:r>
    </w:p>
    <w:p>
      <w:pPr>
        <w:pStyle w:val="CodeBlock"/>
      </w:pPr>
      <w:r>
        <w:t>Ocp-Apim-Subscription-Key: &lt;sandbox-api-key&gt;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"loginAttemptId": "lat_01HXAMPLELOGINATTEMPT",</w:t>
      </w:r>
    </w:p>
    <w:p>
      <w:pPr>
        <w:pStyle w:val="CodeBlock"/>
      </w:pPr>
      <w:r>
        <w:t xml:space="preserve">  "password": "&lt;customer-password&gt;"</w:t>
      </w:r>
    </w:p>
    <w:p>
      <w:pPr>
        <w:pStyle w:val="CodeBlock"/>
      </w:pPr>
      <w:r>
        <w:t>}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"accessToken": "&lt;access-token&gt;",</w:t>
      </w:r>
    </w:p>
    <w:p>
      <w:pPr>
        <w:pStyle w:val="CodeBlock"/>
      </w:pPr>
      <w:r>
        <w:t xml:space="preserve">  "refreshToken": "&lt;refresh-token&gt;",</w:t>
      </w:r>
    </w:p>
    <w:p>
      <w:pPr>
        <w:pStyle w:val="CodeBlock"/>
      </w:pPr>
      <w:r>
        <w:t xml:space="preserve">  "tokenType": "Bearer",</w:t>
      </w:r>
    </w:p>
    <w:p>
      <w:pPr>
        <w:pStyle w:val="CodeBlock"/>
      </w:pPr>
      <w:r>
        <w:t xml:space="preserve">  "expiresIn": 3600,</w:t>
      </w:r>
    </w:p>
    <w:p>
      <w:pPr>
        <w:pStyle w:val="CodeBlock"/>
      </w:pPr>
      <w:r>
        <w:t xml:space="preserve">  "subscriptionId": "sub_01HXAMPLECUSTOMER",</w:t>
      </w:r>
    </w:p>
    <w:p>
      <w:pPr>
        <w:pStyle w:val="CodeBlock"/>
      </w:pPr>
      <w:r>
        <w:t xml:space="preserve">  "nextStep": "CONTINUE"</w:t>
      </w:r>
    </w:p>
    <w:p>
      <w:pPr>
        <w:pStyle w:val="CodeBlock"/>
      </w:pPr>
      <w:r>
        <w:t>}</w:t>
      </w:r>
    </w:p>
    <w:p>
      <w:r>
        <w:rPr>
          <w:b w:val="0"/>
        </w:rPr>
        <w:t xml:space="preserve">The partner app must store tokens according to the security requirements. The </w:t>
      </w:r>
      <w:r>
        <w:rPr>
          <w:rFonts w:ascii="Courier New" w:hAnsi="Courier New" w:eastAsia="Courier New"/>
          <w:sz w:val="18"/>
        </w:rPr>
        <w:t>subscriptionId</w:t>
      </w:r>
      <w:r>
        <w:rPr>
          <w:b w:val="0"/>
        </w:rPr>
        <w:t xml:space="preserve"> is the partner-facing customer reference.</w:t>
      </w:r>
    </w:p>
    <w:p>
      <w:pPr>
        <w:pStyle w:val="Heading1"/>
      </w:pPr>
      <w:r>
        <w:t>11. First profile read</w:t>
      </w:r>
    </w:p>
    <w:p>
      <w:r>
        <w:rPr>
          <w:b w:val="0"/>
        </w:rPr>
        <w:t>After login, call the profile endpoint using the access token.</w:t>
      </w:r>
    </w:p>
    <w:p>
      <w:pPr>
        <w:pStyle w:val="CodeBlock"/>
      </w:pPr>
      <w:r>
        <w:t>GET /v1/core/profile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b4a333e7-3881-40de-bfe7-44c98b7cfcde</w:t>
      </w:r>
    </w:p>
    <w:p>
      <w:pPr>
        <w:pStyle w:val="CodeBlock"/>
      </w:pPr>
      <w:r>
        <w:t>Ocp-Apim-Subscription-Key: &lt;sandbox-api-key&gt;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"subscriptionId": "sub_01HXAMPLECUSTOMER",</w:t>
      </w:r>
    </w:p>
    <w:p>
      <w:pPr>
        <w:pStyle w:val="CodeBlock"/>
      </w:pPr>
      <w:r>
        <w:t xml:space="preserve">  "customerStatus": "PENDING",</w:t>
      </w:r>
    </w:p>
    <w:p>
      <w:pPr>
        <w:pStyle w:val="CodeBlock"/>
      </w:pPr>
      <w:r>
        <w:t xml:space="preserve">  "kycStatus": "NOT_STARTED",</w:t>
      </w:r>
    </w:p>
    <w:p>
      <w:pPr>
        <w:pStyle w:val="CodeBlock"/>
      </w:pPr>
      <w:r>
        <w:t xml:space="preserve">  "profile": {</w:t>
      </w:r>
    </w:p>
    <w:p>
      <w:pPr>
        <w:pStyle w:val="CodeBlock"/>
      </w:pPr>
      <w:r>
        <w:t xml:space="preserve">    "firstName": null,</w:t>
      </w:r>
    </w:p>
    <w:p>
      <w:pPr>
        <w:pStyle w:val="CodeBlock"/>
      </w:pPr>
      <w:r>
        <w:t xml:space="preserve">    "lastName": null,</w:t>
      </w:r>
    </w:p>
    <w:p>
      <w:pPr>
        <w:pStyle w:val="CodeBlock"/>
      </w:pPr>
      <w:r>
        <w:t xml:space="preserve">    "dateOfBirth": null,</w:t>
      </w:r>
    </w:p>
    <w:p>
      <w:pPr>
        <w:pStyle w:val="CodeBlock"/>
      </w:pPr>
      <w:r>
        <w:t xml:space="preserve">    "email": "alice.martinez@example.com",</w:t>
      </w:r>
    </w:p>
    <w:p>
      <w:pPr>
        <w:pStyle w:val="CodeBlock"/>
      </w:pPr>
      <w:r>
        <w:t xml:space="preserve">    "phone": null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"nextStep": "COMPLETE_PROFILE"</w:t>
      </w:r>
    </w:p>
    <w:p>
      <w:pPr>
        <w:pStyle w:val="CodeBlock"/>
      </w:pPr>
      <w:r>
        <w:t>}</w:t>
      </w:r>
    </w:p>
    <w:p>
      <w:r>
        <w:rPr>
          <w:b w:val="0"/>
        </w:rPr>
        <w:t xml:space="preserve">The partner app should use </w:t>
      </w:r>
      <w:r>
        <w:rPr>
          <w:rFonts w:ascii="Courier New" w:hAnsi="Courier New" w:eastAsia="Courier New"/>
          <w:sz w:val="18"/>
        </w:rPr>
        <w:t>customerStatus</w:t>
      </w:r>
      <w:r>
        <w:rPr>
          <w:b w:val="0"/>
        </w:rPr>
        <w:t xml:space="preserve">, </w:t>
      </w:r>
      <w:r>
        <w:rPr>
          <w:rFonts w:ascii="Courier New" w:hAnsi="Courier New" w:eastAsia="Courier New"/>
          <w:sz w:val="18"/>
        </w:rPr>
        <w:t>kycStatus</w:t>
      </w:r>
      <w:r>
        <w:rPr>
          <w:b w:val="0"/>
        </w:rPr>
        <w:t xml:space="preserve">, and </w:t>
      </w:r>
      <w:r>
        <w:rPr>
          <w:rFonts w:ascii="Courier New" w:hAnsi="Courier New" w:eastAsia="Courier New"/>
          <w:sz w:val="18"/>
        </w:rPr>
        <w:t>nextStep</w:t>
      </w:r>
      <w:r>
        <w:rPr>
          <w:b w:val="0"/>
        </w:rPr>
        <w:t xml:space="preserve"> to guide the customer.</w:t>
      </w:r>
    </w:p>
    <w:p>
      <w:pPr>
        <w:pStyle w:val="Heading1"/>
      </w:pPr>
      <w:r>
        <w:t>12. First profile submission</w:t>
      </w:r>
    </w:p>
    <w:p>
      <w:pPr>
        <w:pStyle w:val="CodeBlock"/>
      </w:pPr>
      <w:r>
        <w:t>POST /v1/core/profile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e91c7dbf-3f63-47bb-b6bc-826f4693d1cf</w:t>
      </w:r>
    </w:p>
    <w:p>
      <w:pPr>
        <w:pStyle w:val="CodeBlock"/>
      </w:pPr>
      <w:r>
        <w:t>Idempotency-Key: e84c830f-a1d0-4e73-b1bd-f2e54160b22c</w:t>
      </w:r>
    </w:p>
    <w:p>
      <w:pPr>
        <w:pStyle w:val="CodeBlock"/>
      </w:pPr>
      <w:r>
        <w:t>Ocp-Apim-Subscription-Key: &lt;sandbox-api-key&gt;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"firstName": "Alice",</w:t>
      </w:r>
    </w:p>
    <w:p>
      <w:pPr>
        <w:pStyle w:val="CodeBlock"/>
      </w:pPr>
      <w:r>
        <w:t xml:space="preserve">  "lastName": "Martinez",</w:t>
      </w:r>
    </w:p>
    <w:p>
      <w:pPr>
        <w:pStyle w:val="CodeBlock"/>
      </w:pPr>
      <w:r>
        <w:t xml:space="preserve">  "dateOfBirth": "1990-04-18",</w:t>
      </w:r>
    </w:p>
    <w:p>
      <w:pPr>
        <w:pStyle w:val="CodeBlock"/>
      </w:pPr>
      <w:r>
        <w:t xml:space="preserve">  "nationality": "ES",</w:t>
      </w:r>
    </w:p>
    <w:p>
      <w:pPr>
        <w:pStyle w:val="CodeBlock"/>
      </w:pPr>
      <w:r>
        <w:t xml:space="preserve">  "residentialAddress": {</w:t>
      </w:r>
    </w:p>
    <w:p>
      <w:pPr>
        <w:pStyle w:val="CodeBlock"/>
      </w:pPr>
      <w:r>
        <w:t xml:space="preserve">    "line1": "Calle Mayor 10",</w:t>
      </w:r>
    </w:p>
    <w:p>
      <w:pPr>
        <w:pStyle w:val="CodeBlock"/>
      </w:pPr>
      <w:r>
        <w:t xml:space="preserve">    "city": "Madrid",</w:t>
      </w:r>
    </w:p>
    <w:p>
      <w:pPr>
        <w:pStyle w:val="CodeBlock"/>
      </w:pPr>
      <w:r>
        <w:t xml:space="preserve">    "postalCode": "28013",</w:t>
      </w:r>
    </w:p>
    <w:p>
      <w:pPr>
        <w:pStyle w:val="CodeBlock"/>
      </w:pPr>
      <w:r>
        <w:t xml:space="preserve">    "country": "ES"</w:t>
      </w:r>
    </w:p>
    <w:p>
      <w:pPr>
        <w:pStyle w:val="CodeBlock"/>
      </w:pPr>
      <w:r>
        <w:t xml:space="preserve">  }</w:t>
      </w:r>
    </w:p>
    <w:p>
      <w:pPr>
        <w:pStyle w:val="CodeBlock"/>
      </w:pPr>
      <w:r>
        <w:t>}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"subscriptionId": "sub_01HXAMPLECUSTOMER",</w:t>
      </w:r>
    </w:p>
    <w:p>
      <w:pPr>
        <w:pStyle w:val="CodeBlock"/>
      </w:pPr>
      <w:r>
        <w:t xml:space="preserve">  "customerStatus": "PENDING",</w:t>
      </w:r>
    </w:p>
    <w:p>
      <w:pPr>
        <w:pStyle w:val="CodeBlock"/>
      </w:pPr>
      <w:r>
        <w:t xml:space="preserve">  "kycStatus": "PROFILE_SUBMITTED",</w:t>
      </w:r>
    </w:p>
    <w:p>
      <w:pPr>
        <w:pStyle w:val="CodeBlock"/>
      </w:pPr>
      <w:r>
        <w:t xml:space="preserve">  "nextStep": "START_KYC"</w:t>
      </w:r>
    </w:p>
    <w:p>
      <w:pPr>
        <w:pStyle w:val="CodeBlock"/>
      </w:pPr>
      <w:r>
        <w:t>}</w:t>
      </w:r>
    </w:p>
    <w:p>
      <w:pPr>
        <w:pStyle w:val="Heading1"/>
      </w:pPr>
      <w:r>
        <w:t>13. First KYC session</w:t>
      </w:r>
    </w:p>
    <w:p>
      <w:r>
        <w:rPr>
          <w:b w:val="0"/>
        </w:rPr>
        <w:t>Start a KYC session when the customer is ready to complete identity verification.</w:t>
      </w:r>
    </w:p>
    <w:p>
      <w:pPr>
        <w:pStyle w:val="CodeBlock"/>
      </w:pPr>
      <w:r>
        <w:t>POST /v1/core/kyc-sessions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1d8a595e-9f17-4c2f-a7ab-237d1543ef71</w:t>
      </w:r>
    </w:p>
    <w:p>
      <w:pPr>
        <w:pStyle w:val="CodeBlock"/>
      </w:pPr>
      <w:r>
        <w:t>Idempotency-Key: 04a54677-78fb-46bb-92e0-2fcf88dfae10</w:t>
      </w:r>
    </w:p>
    <w:p>
      <w:pPr>
        <w:pStyle w:val="CodeBlock"/>
      </w:pPr>
      <w:r>
        <w:t>Ocp-Apim-Subscription-Key: &lt;sandbox-api-key&gt;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"returnUrl": "https://partner.example/app/kyc/return",</w:t>
      </w:r>
    </w:p>
    <w:p>
      <w:pPr>
        <w:pStyle w:val="CodeBlock"/>
      </w:pPr>
      <w:r>
        <w:t xml:space="preserve">  "locale": "en"</w:t>
      </w:r>
    </w:p>
    <w:p>
      <w:pPr>
        <w:pStyle w:val="CodeBlock"/>
      </w:pPr>
      <w:r>
        <w:t>}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"kycSessionId": "kyc_01HXAMPLESSESSION",</w:t>
      </w:r>
    </w:p>
    <w:p>
      <w:pPr>
        <w:pStyle w:val="CodeBlock"/>
      </w:pPr>
      <w:r>
        <w:t xml:space="preserve">  "status": "STARTED",</w:t>
      </w:r>
    </w:p>
    <w:p>
      <w:pPr>
        <w:pStyle w:val="CodeBlock"/>
      </w:pPr>
      <w:r>
        <w:t xml:space="preserve">  "webviewUrl": "https://sandbox.verify.yescash.example/session/kyc_01HXAMPLESSESSION",</w:t>
      </w:r>
    </w:p>
    <w:p>
      <w:pPr>
        <w:pStyle w:val="CodeBlock"/>
      </w:pPr>
      <w:r>
        <w:t xml:space="preserve">  "expiresAt": "2026-05-12T10:45:00Z"</w:t>
      </w:r>
    </w:p>
    <w:p>
      <w:pPr>
        <w:pStyle w:val="CodeBlock"/>
      </w:pPr>
      <w:r>
        <w:t>}</w:t>
      </w:r>
    </w:p>
    <w:p>
      <w:r>
        <w:rPr>
          <w:b w:val="0"/>
        </w:rPr>
        <w:t xml:space="preserve">Open </w:t>
      </w:r>
      <w:r>
        <w:rPr>
          <w:rFonts w:ascii="Courier New" w:hAnsi="Courier New" w:eastAsia="Courier New"/>
          <w:sz w:val="18"/>
        </w:rPr>
        <w:t>webviewUrl</w:t>
      </w:r>
      <w:r>
        <w:rPr>
          <w:b w:val="0"/>
        </w:rPr>
        <w:t xml:space="preserve"> inside the partner app using the approved webview pattern. Do not collect identity documents outside the YCMT-approved flow.</w:t>
      </w:r>
    </w:p>
    <w:p>
      <w:pPr>
        <w:pStyle w:val="Heading1"/>
      </w:pPr>
      <w:r>
        <w:t>14. First beneficiary creation</w:t>
      </w:r>
    </w:p>
    <w:p>
      <w:r>
        <w:rPr>
          <w:b w:val="0"/>
        </w:rPr>
        <w:t>After the customer is eligible to proceed, create a beneficiary.</w:t>
      </w:r>
    </w:p>
    <w:p>
      <w:pPr>
        <w:pStyle w:val="CodeBlock"/>
      </w:pPr>
      <w:r>
        <w:t>POST /v1/core/beneficiaries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Content-Type: application/json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f8a4ae66-83b3-4f58-b53a-a2bc80e395ab</w:t>
      </w:r>
    </w:p>
    <w:p>
      <w:pPr>
        <w:pStyle w:val="CodeBlock"/>
      </w:pPr>
      <w:r>
        <w:t>Idempotency-Key: 61d84dd3-70c5-4fcb-a73c-071e5f9c482c</w:t>
      </w:r>
    </w:p>
    <w:p>
      <w:pPr>
        <w:pStyle w:val="CodeBlock"/>
      </w:pPr>
      <w:r>
        <w:t>Ocp-Apim-Subscription-Key: &lt;sandbox-api-key&gt;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"firstName": "Carlos",</w:t>
      </w:r>
    </w:p>
    <w:p>
      <w:pPr>
        <w:pStyle w:val="CodeBlock"/>
      </w:pPr>
      <w:r>
        <w:t xml:space="preserve">  "lastName": "Rodriguez",</w:t>
      </w:r>
    </w:p>
    <w:p>
      <w:pPr>
        <w:pStyle w:val="CodeBlock"/>
      </w:pPr>
      <w:r>
        <w:t xml:space="preserve">  "country": "MA",</w:t>
      </w:r>
    </w:p>
    <w:p>
      <w:pPr>
        <w:pStyle w:val="CodeBlock"/>
      </w:pPr>
      <w:r>
        <w:t xml:space="preserve">  "payoutMethod": "BANK_ACCOUNT",</w:t>
      </w:r>
    </w:p>
    <w:p>
      <w:pPr>
        <w:pStyle w:val="CodeBlock"/>
      </w:pPr>
      <w:r>
        <w:t xml:space="preserve">  "bankAccount": {</w:t>
      </w:r>
    </w:p>
    <w:p>
      <w:pPr>
        <w:pStyle w:val="CodeBlock"/>
      </w:pPr>
      <w:r>
        <w:t xml:space="preserve">    "iban": "MA64011519000001205000534921"</w:t>
      </w:r>
    </w:p>
    <w:p>
      <w:pPr>
        <w:pStyle w:val="CodeBlock"/>
      </w:pPr>
      <w:r>
        <w:t xml:space="preserve">  }</w:t>
      </w:r>
    </w:p>
    <w:p>
      <w:pPr>
        <w:pStyle w:val="CodeBlock"/>
      </w:pPr>
      <w:r>
        <w:t>}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"beneficiaryId": "ben_01HXAMPLEBENEFICIARY",</w:t>
      </w:r>
    </w:p>
    <w:p>
      <w:pPr>
        <w:pStyle w:val="CodeBlock"/>
      </w:pPr>
      <w:r>
        <w:t xml:space="preserve">  "status": "ACTIVE",</w:t>
      </w:r>
    </w:p>
    <w:p>
      <w:pPr>
        <w:pStyle w:val="CodeBlock"/>
      </w:pPr>
      <w:r>
        <w:t xml:space="preserve">  "displayName": "Carlos Rodriguez",</w:t>
      </w:r>
    </w:p>
    <w:p>
      <w:pPr>
        <w:pStyle w:val="CodeBlock"/>
      </w:pPr>
      <w:r>
        <w:t xml:space="preserve">  "country": "MA",</w:t>
      </w:r>
    </w:p>
    <w:p>
      <w:pPr>
        <w:pStyle w:val="CodeBlock"/>
      </w:pPr>
      <w:r>
        <w:t xml:space="preserve">  "payoutMethod": "BANK_ACCOUNT"</w:t>
      </w:r>
    </w:p>
    <w:p>
      <w:pPr>
        <w:pStyle w:val="CodeBlock"/>
      </w:pPr>
      <w:r>
        <w:t>}</w:t>
      </w:r>
    </w:p>
    <w:p>
      <w:pPr>
        <w:pStyle w:val="Heading1"/>
      </w:pPr>
      <w:r>
        <w:t>15. First quote and disclosure flow</w:t>
      </w:r>
    </w:p>
    <w:p>
      <w:r>
        <w:rPr>
          <w:b w:val="0"/>
        </w:rPr>
        <w:t>A typical quote flow is:</w:t>
      </w:r>
    </w:p>
    <w:p>
      <w:pPr>
        <w:pStyle w:val="CodeBlock"/>
      </w:pPr>
      <w:r>
        <w:t>1. Partner presents available customer input fields.</w:t>
      </w:r>
    </w:p>
    <w:p>
      <w:pPr>
        <w:pStyle w:val="CodeBlock"/>
      </w:pPr>
      <w:r>
        <w:t>2. Partner obtains or creates a quote according to its approved pricing model.</w:t>
      </w:r>
    </w:p>
    <w:p>
      <w:pPr>
        <w:pStyle w:val="CodeBlock"/>
      </w:pPr>
      <w:r>
        <w:t>3. Partner app retrieves the quote and disclosure from YCMT.</w:t>
      </w:r>
    </w:p>
    <w:p>
      <w:pPr>
        <w:pStyle w:val="CodeBlock"/>
      </w:pPr>
      <w:r>
        <w:t>4. Customer reviews the quote and disclosure.</w:t>
      </w:r>
    </w:p>
    <w:p>
      <w:pPr>
        <w:pStyle w:val="CodeBlock"/>
      </w:pPr>
      <w:r>
        <w:t>5. Customer accepts before quote expiry.</w:t>
      </w:r>
    </w:p>
    <w:p>
      <w:r>
        <w:rPr>
          <w:b w:val="0"/>
        </w:rPr>
        <w:t>Example quote retrieval:</w:t>
      </w:r>
    </w:p>
    <w:p>
      <w:pPr>
        <w:pStyle w:val="CodeBlock"/>
      </w:pPr>
      <w:r>
        <w:t>GET /v1/core/quotes/quo_01HXAMPLEQUOTE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4379807a-81da-4af9-8543-f80244e0ba31</w:t>
      </w:r>
    </w:p>
    <w:p>
      <w:pPr>
        <w:pStyle w:val="CodeBlock"/>
      </w:pPr>
      <w:r>
        <w:t>Ocp-Apim-Subscription-Key: &lt;sandbox-api-key&gt;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"quoteId": "quo_01HXAMPLEQUOTE",</w:t>
      </w:r>
    </w:p>
    <w:p>
      <w:pPr>
        <w:pStyle w:val="CodeBlock"/>
      </w:pPr>
      <w:r>
        <w:t xml:space="preserve">  "sendAmount": {</w:t>
      </w:r>
    </w:p>
    <w:p>
      <w:pPr>
        <w:pStyle w:val="CodeBlock"/>
      </w:pPr>
      <w:r>
        <w:t xml:space="preserve">    "amount": "100.000000",</w:t>
      </w:r>
    </w:p>
    <w:p>
      <w:pPr>
        <w:pStyle w:val="CodeBlock"/>
      </w:pPr>
      <w:r>
        <w:t xml:space="preserve">    "currency": "EUR"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"receiveAmount": {</w:t>
      </w:r>
    </w:p>
    <w:p>
      <w:pPr>
        <w:pStyle w:val="CodeBlock"/>
      </w:pPr>
      <w:r>
        <w:t xml:space="preserve">    "amount": "1085.000000",</w:t>
      </w:r>
    </w:p>
    <w:p>
      <w:pPr>
        <w:pStyle w:val="CodeBlock"/>
      </w:pPr>
      <w:r>
        <w:t xml:space="preserve">    "currency": "MAD"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"fee": {</w:t>
      </w:r>
    </w:p>
    <w:p>
      <w:pPr>
        <w:pStyle w:val="CodeBlock"/>
      </w:pPr>
      <w:r>
        <w:t xml:space="preserve">    "amount": "3.000000",</w:t>
      </w:r>
    </w:p>
    <w:p>
      <w:pPr>
        <w:pStyle w:val="CodeBlock"/>
      </w:pPr>
      <w:r>
        <w:t xml:space="preserve">    "currency": "EUR"</w:t>
      </w:r>
    </w:p>
    <w:p>
      <w:pPr>
        <w:pStyle w:val="CodeBlock"/>
      </w:pPr>
      <w:r>
        <w:t xml:space="preserve">  },</w:t>
      </w:r>
    </w:p>
    <w:p>
      <w:pPr>
        <w:pStyle w:val="CodeBlock"/>
      </w:pPr>
      <w:r>
        <w:t xml:space="preserve">  "exchangeRate": "10.850000",</w:t>
      </w:r>
    </w:p>
    <w:p>
      <w:pPr>
        <w:pStyle w:val="CodeBlock"/>
      </w:pPr>
      <w:r>
        <w:t xml:space="preserve">  "expiresAt": "2026-05-12T10:30:00Z",</w:t>
      </w:r>
    </w:p>
    <w:p>
      <w:pPr>
        <w:pStyle w:val="CodeBlock"/>
      </w:pPr>
      <w:r>
        <w:t xml:space="preserve">  "status": "AVAILABLE"</w:t>
      </w:r>
    </w:p>
    <w:p>
      <w:pPr>
        <w:pStyle w:val="CodeBlock"/>
      </w:pPr>
      <w:r>
        <w:t>}</w:t>
      </w:r>
    </w:p>
    <w:p>
      <w:r>
        <w:rPr>
          <w:b w:val="0"/>
        </w:rPr>
        <w:t>The customer must see the required disclosure before accepting the quote.</w:t>
      </w:r>
    </w:p>
    <w:p>
      <w:pPr>
        <w:pStyle w:val="Heading1"/>
      </w:pPr>
      <w:r>
        <w:t>16. First transfer flow</w:t>
      </w:r>
    </w:p>
    <w:p>
      <w:r>
        <w:rPr>
          <w:b w:val="0"/>
        </w:rPr>
        <w:t>A typical transfer flow is:</w:t>
      </w:r>
    </w:p>
    <w:p>
      <w:pPr>
        <w:pStyle w:val="CodeBlock"/>
      </w:pPr>
      <w:r>
        <w:t>1. Customer accepts quote.</w:t>
      </w:r>
    </w:p>
    <w:p>
      <w:pPr>
        <w:pStyle w:val="CodeBlock"/>
      </w:pPr>
      <w:r>
        <w:t>2. Customer submits transfer.</w:t>
      </w:r>
    </w:p>
    <w:p>
      <w:pPr>
        <w:pStyle w:val="CodeBlock"/>
      </w:pPr>
      <w:r>
        <w:t>3. Customer confirms transfer if required.</w:t>
      </w:r>
    </w:p>
    <w:p>
      <w:pPr>
        <w:pStyle w:val="CodeBlock"/>
      </w:pPr>
      <w:r>
        <w:t>4. Customer completes funding webview.</w:t>
      </w:r>
    </w:p>
    <w:p>
      <w:pPr>
        <w:pStyle w:val="CodeBlock"/>
      </w:pPr>
      <w:r>
        <w:t>5. Partner app polls transfer status.</w:t>
      </w:r>
    </w:p>
    <w:p>
      <w:r>
        <w:rPr>
          <w:b w:val="0"/>
        </w:rPr>
        <w:t>Example transfer status pull:</w:t>
      </w:r>
    </w:p>
    <w:p>
      <w:pPr>
        <w:pStyle w:val="CodeBlock"/>
      </w:pPr>
      <w:r>
        <w:t>GET /v1/core/transfers/trf_01HXAMPLETRANSFER HTTP/1.1</w:t>
      </w:r>
    </w:p>
    <w:p>
      <w:pPr>
        <w:pStyle w:val="CodeBlock"/>
      </w:pPr>
      <w:r>
        <w:t>Host: sandbox.api.eu.yescash.example</w:t>
      </w:r>
    </w:p>
    <w:p>
      <w:pPr>
        <w:pStyle w:val="CodeBlock"/>
      </w:pPr>
      <w:r>
        <w:t>Accept: application/json</w:t>
      </w:r>
    </w:p>
    <w:p>
      <w:pPr>
        <w:pStyle w:val="CodeBlock"/>
      </w:pPr>
      <w:r>
        <w:t>Authorization: Bearer &lt;access-token&gt;</w:t>
      </w:r>
    </w:p>
    <w:p>
      <w:pPr>
        <w:pStyle w:val="CodeBlock"/>
      </w:pPr>
      <w:r>
        <w:t>X-Correlation-Id: 89d88ba8-e208-4931-bb5f-c1d16c05109f</w:t>
      </w:r>
    </w:p>
    <w:p>
      <w:pPr>
        <w:pStyle w:val="CodeBlock"/>
      </w:pPr>
      <w:r>
        <w:t>Ocp-Apim-Subscription-Key: &lt;sandbox-api-key&gt;</w:t>
      </w:r>
    </w:p>
    <w:p>
      <w:r>
        <w:rPr>
          <w:b w:val="0"/>
        </w:rPr>
        <w:t>Example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"transferId": "trf_01HXAMPLETRANSFER",</w:t>
      </w:r>
    </w:p>
    <w:p>
      <w:pPr>
        <w:pStyle w:val="CodeBlock"/>
      </w:pPr>
      <w:r>
        <w:t xml:space="preserve">  "status": "FUNDING",</w:t>
      </w:r>
    </w:p>
    <w:p>
      <w:pPr>
        <w:pStyle w:val="CodeBlock"/>
      </w:pPr>
      <w:r>
        <w:t xml:space="preserve">  "customerActionExpected": true,</w:t>
      </w:r>
    </w:p>
    <w:p>
      <w:pPr>
        <w:pStyle w:val="CodeBlock"/>
      </w:pPr>
      <w:r>
        <w:t xml:space="preserve">  "nextStep": "COMPLETE_FUNDING",</w:t>
      </w:r>
    </w:p>
    <w:p>
      <w:pPr>
        <w:pStyle w:val="CodeBlock"/>
      </w:pPr>
      <w:r>
        <w:t xml:space="preserve">  "funding": {</w:t>
      </w:r>
    </w:p>
    <w:p>
      <w:pPr>
        <w:pStyle w:val="CodeBlock"/>
      </w:pPr>
      <w:r>
        <w:t xml:space="preserve">    "fundingSessionId": "fds_01HXAMPLEFUNDING",</w:t>
      </w:r>
    </w:p>
    <w:p>
      <w:pPr>
        <w:pStyle w:val="CodeBlock"/>
      </w:pPr>
      <w:r>
        <w:t xml:space="preserve">    "webviewUrl": "https://sandbox.pay.yescash.example/session/fds_01HXAMPLEFUNDING"</w:t>
      </w:r>
    </w:p>
    <w:p>
      <w:pPr>
        <w:pStyle w:val="CodeBlock"/>
      </w:pPr>
      <w:r>
        <w:t xml:space="preserve">  }</w:t>
      </w:r>
    </w:p>
    <w:p>
      <w:pPr>
        <w:pStyle w:val="CodeBlock"/>
      </w:pPr>
      <w:r>
        <w:t>}</w:t>
      </w:r>
    </w:p>
    <w:p>
      <w:r>
        <w:rPr>
          <w:b w:val="0"/>
        </w:rPr>
        <w:t xml:space="preserve">The partner app should follow </w:t>
      </w:r>
      <w:r>
        <w:rPr>
          <w:rFonts w:ascii="Courier New" w:hAnsi="Courier New" w:eastAsia="Courier New"/>
          <w:sz w:val="18"/>
        </w:rPr>
        <w:t>nextStep</w:t>
      </w:r>
      <w:r>
        <w:rPr>
          <w:b w:val="0"/>
        </w:rPr>
        <w:t xml:space="preserve"> and </w:t>
      </w:r>
      <w:r>
        <w:rPr>
          <w:rFonts w:ascii="Courier New" w:hAnsi="Courier New" w:eastAsia="Courier New"/>
          <w:sz w:val="18"/>
        </w:rPr>
        <w:t>customerActionExpected</w:t>
      </w:r>
      <w:r>
        <w:rPr>
          <w:b w:val="0"/>
        </w:rPr>
        <w:t xml:space="preserve"> rather than guessing the next customer action.</w:t>
      </w:r>
    </w:p>
    <w:p>
      <w:pPr>
        <w:pStyle w:val="Heading1"/>
      </w:pPr>
      <w:r>
        <w:t>17. Customer status basics</w:t>
      </w:r>
    </w:p>
    <w:p>
      <w:r>
        <w:rPr>
          <w:b w:val="0"/>
        </w:rPr>
        <w:t>YCMT may return customer status information to help the partner app guide the customer.</w:t>
      </w:r>
    </w:p>
    <w:p>
      <w:r>
        <w:rPr>
          <w:b w:val="0"/>
        </w:rPr>
        <w:t>Partner developers should treat customer status as an instruction for customer experience, not as an internal decision reason.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Status</w:t>
            </w:r>
          </w:p>
        </w:tc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Partner-app behaviour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PENDING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must complete onboarding or KYC before money transfer can proceed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VALID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may proceed, subject to normal endpoint-specific checks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MONITORED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Transfers may be accepted but held for YCMT review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RESTRICTED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action may be required before held transfers can progress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BLOCKED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Do not allow new transfer actions; show generic support guidance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rFonts w:ascii="Courier New" w:hAnsi="Courier New" w:eastAsia="Courier New"/>
                <w:sz w:val="17"/>
              </w:rPr>
              <w:t>CLOSED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Customer relationship is closed; do not allow new transfer actions</w:t>
            </w:r>
          </w:p>
        </w:tc>
      </w:tr>
    </w:tbl>
    <w:p/>
    <w:p>
      <w:r>
        <w:rPr>
          <w:b w:val="0"/>
        </w:rPr>
        <w:t>Do not display internal reason codes or speculate on AML, sanctions, fraud, or regulatory causes.</w:t>
      </w:r>
    </w:p>
    <w:p>
      <w:pPr>
        <w:pStyle w:val="Heading1"/>
      </w:pPr>
      <w:r>
        <w:t>18. Error handling basics</w:t>
      </w:r>
    </w:p>
    <w:p>
      <w:r>
        <w:rPr>
          <w:b w:val="0"/>
        </w:rPr>
        <w:t>YCMT APIs return structured errors. The partner app should use the returned code, hint, remediation, and correlation ID.</w:t>
      </w:r>
    </w:p>
    <w:p>
      <w:r>
        <w:rPr>
          <w:b w:val="0"/>
        </w:rPr>
        <w:t>Example error response:</w:t>
      </w:r>
    </w:p>
    <w:p>
      <w:pPr>
        <w:pStyle w:val="CodeBlock"/>
      </w:pPr>
      <w:r>
        <w:t>{</w:t>
      </w:r>
    </w:p>
    <w:p>
      <w:pPr>
        <w:pStyle w:val="CodeBlock"/>
      </w:pPr>
      <w:r>
        <w:t xml:space="preserve">  "error": {</w:t>
      </w:r>
    </w:p>
    <w:p>
      <w:pPr>
        <w:pStyle w:val="CodeBlock"/>
      </w:pPr>
      <w:r>
        <w:t xml:space="preserve">    "code": "auth.tokenExpired",</w:t>
      </w:r>
    </w:p>
    <w:p>
      <w:pPr>
        <w:pStyle w:val="CodeBlock"/>
      </w:pPr>
      <w:r>
        <w:t xml:space="preserve">    "message": "The session has expired.",</w:t>
      </w:r>
    </w:p>
    <w:p>
      <w:pPr>
        <w:pStyle w:val="CodeBlock"/>
      </w:pPr>
      <w:r>
        <w:t xml:space="preserve">    "hint": "hint.partner_app.token_refresh",</w:t>
      </w:r>
    </w:p>
    <w:p>
      <w:pPr>
        <w:pStyle w:val="CodeBlock"/>
      </w:pPr>
      <w:r>
        <w:t xml:space="preserve">    "remediation": "remediation.customer_ux.sign_in_again",</w:t>
      </w:r>
    </w:p>
    <w:p>
      <w:pPr>
        <w:pStyle w:val="CodeBlock"/>
      </w:pPr>
      <w:r>
        <w:t xml:space="preserve">    "correlationId": "cfb4ed22-43ac-4b29-b9e4-4e9ad874cbea"</w:t>
      </w:r>
    </w:p>
    <w:p>
      <w:pPr>
        <w:pStyle w:val="CodeBlock"/>
      </w:pPr>
      <w:r>
        <w:t xml:space="preserve">  }</w:t>
      </w:r>
    </w:p>
    <w:p>
      <w:pPr>
        <w:pStyle w:val="CodeBlock"/>
      </w:pPr>
      <w:r>
        <w:t>}</w:t>
      </w:r>
    </w:p>
    <w:p>
      <w:r>
        <w:rPr>
          <w:b w:val="0"/>
        </w:rPr>
        <w:t>Basic handling rules:</w:t>
      </w:r>
    </w:p>
    <w:p>
      <w:pPr>
        <w:pStyle w:val="ListBullet"/>
      </w:pPr>
      <w:r>
        <w:rPr>
          <w:b w:val="0"/>
        </w:rPr>
        <w:t>For expired tokens, attempt refresh where permitted.</w:t>
      </w:r>
    </w:p>
    <w:p>
      <w:pPr>
        <w:pStyle w:val="ListBullet"/>
      </w:pPr>
      <w:r>
        <w:rPr>
          <w:b w:val="0"/>
        </w:rPr>
        <w:t>For validation errors, correct the request before retrying.</w:t>
      </w:r>
    </w:p>
    <w:p>
      <w:pPr>
        <w:pStyle w:val="ListBullet"/>
      </w:pPr>
      <w:r>
        <w:rPr>
          <w:b w:val="0"/>
        </w:rPr>
        <w:t>For idempotency conflicts, do not generate a new business action unless the customer explicitly restarts the action.</w:t>
      </w:r>
    </w:p>
    <w:p>
      <w:pPr>
        <w:pStyle w:val="ListBullet"/>
      </w:pPr>
      <w:r>
        <w:rPr>
          <w:b w:val="0"/>
        </w:rPr>
        <w:t>For status-blocking errors, show only the approved customer-safe message.</w:t>
      </w:r>
    </w:p>
    <w:p>
      <w:pPr>
        <w:pStyle w:val="ListBullet"/>
      </w:pPr>
      <w:r>
        <w:rPr>
          <w:b w:val="0"/>
        </w:rPr>
        <w:t xml:space="preserve">Always retain the </w:t>
      </w:r>
      <w:r>
        <w:rPr>
          <w:rFonts w:ascii="Courier New" w:hAnsi="Courier New" w:eastAsia="Courier New"/>
          <w:sz w:val="18"/>
        </w:rPr>
        <w:t>correlationId</w:t>
      </w:r>
      <w:r>
        <w:rPr>
          <w:b w:val="0"/>
        </w:rPr>
        <w:t xml:space="preserve"> for support escalation.</w:t>
      </w:r>
    </w:p>
    <w:p>
      <w:pPr>
        <w:pStyle w:val="Heading1"/>
      </w:pPr>
      <w:r>
        <w:t>19. Logging and security basics</w:t>
      </w:r>
    </w:p>
    <w:p>
      <w:r>
        <w:rPr>
          <w:b w:val="0"/>
        </w:rPr>
        <w:t>Partner applications must implement secure handling from the start.</w:t>
      </w:r>
    </w:p>
    <w:p>
      <w:r>
        <w:rPr>
          <w:b w:val="0"/>
        </w:rPr>
        <w:t>Do:</w:t>
      </w:r>
    </w:p>
    <w:p>
      <w:pPr>
        <w:pStyle w:val="ListBullet"/>
      </w:pPr>
      <w:r>
        <w:rPr>
          <w:b w:val="0"/>
        </w:rPr>
        <w:t>Use TLS for all API calls.</w:t>
      </w:r>
    </w:p>
    <w:p>
      <w:pPr>
        <w:pStyle w:val="ListBullet"/>
      </w:pPr>
      <w:r>
        <w:rPr>
          <w:b w:val="0"/>
        </w:rPr>
        <w:t>Store tokens only in secure platform storage.</w:t>
      </w:r>
    </w:p>
    <w:p>
      <w:pPr>
        <w:pStyle w:val="ListBullet"/>
      </w:pPr>
      <w:r>
        <w:rPr>
          <w:b w:val="0"/>
        </w:rPr>
        <w:t>Redact tokens, OTPs, passwords, private keys, and personal data from logs.</w:t>
      </w:r>
    </w:p>
    <w:p>
      <w:pPr>
        <w:pStyle w:val="ListBullet"/>
      </w:pPr>
      <w:r>
        <w:rPr>
          <w:b w:val="0"/>
        </w:rPr>
        <w:t>Generate strong random UUIDs for correlation and idempotency keys.</w:t>
      </w:r>
    </w:p>
    <w:p>
      <w:pPr>
        <w:pStyle w:val="ListBullet"/>
      </w:pPr>
      <w:r>
        <w:rPr>
          <w:b w:val="0"/>
        </w:rPr>
        <w:t>Protect signing keys if quote signing or webhook validation is implemented.</w:t>
      </w:r>
    </w:p>
    <w:p>
      <w:pPr>
        <w:pStyle w:val="ListBullet"/>
      </w:pPr>
      <w:r>
        <w:rPr>
          <w:b w:val="0"/>
        </w:rPr>
        <w:t>Apply least-privilege access to backend systems.</w:t>
      </w:r>
    </w:p>
    <w:p>
      <w:r>
        <w:rPr>
          <w:b w:val="0"/>
        </w:rPr>
        <w:t>Do not:</w:t>
      </w:r>
    </w:p>
    <w:p>
      <w:pPr>
        <w:pStyle w:val="ListBullet"/>
      </w:pPr>
      <w:r>
        <w:rPr>
          <w:b w:val="0"/>
        </w:rPr>
        <w:t>Log full access or refresh tokens.</w:t>
      </w:r>
    </w:p>
    <w:p>
      <w:pPr>
        <w:pStyle w:val="ListBullet"/>
      </w:pPr>
      <w:r>
        <w:rPr>
          <w:b w:val="0"/>
        </w:rPr>
        <w:t>Store customer passwords.</w:t>
      </w:r>
    </w:p>
    <w:p>
      <w:pPr>
        <w:pStyle w:val="ListBullet"/>
      </w:pPr>
      <w:r>
        <w:rPr>
          <w:b w:val="0"/>
        </w:rPr>
        <w:t>Collect KYC documents outside approved YCMT flows.</w:t>
      </w:r>
    </w:p>
    <w:p>
      <w:pPr>
        <w:pStyle w:val="ListBullet"/>
      </w:pPr>
      <w:r>
        <w:rPr>
          <w:b w:val="0"/>
        </w:rPr>
        <w:t>Modify transfer details after customer confirmation.</w:t>
      </w:r>
    </w:p>
    <w:p>
      <w:pPr>
        <w:pStyle w:val="ListBullet"/>
      </w:pPr>
      <w:r>
        <w:rPr>
          <w:b w:val="0"/>
        </w:rPr>
        <w:t>Retry non-idempotent actions with a new idempotency key unless the customer restarts the action.</w:t>
      </w:r>
    </w:p>
    <w:p>
      <w:pPr>
        <w:pStyle w:val="ListBullet"/>
      </w:pPr>
      <w:r>
        <w:rPr>
          <w:b w:val="0"/>
        </w:rPr>
        <w:t>Display internal speculation about compliance or risk decisions.</w:t>
      </w:r>
    </w:p>
    <w:p>
      <w:pPr>
        <w:pStyle w:val="Heading1"/>
      </w:pPr>
      <w:r>
        <w:t>20. Sandbox testing checklist</w:t>
      </w:r>
    </w:p>
    <w:p>
      <w:r>
        <w:rPr>
          <w:b w:val="0"/>
        </w:rPr>
        <w:t>Before requesting production activation, the partner must complete YCMT sandbox testing.</w:t>
      </w:r>
    </w:p>
    <w:p>
      <w:r>
        <w:rPr>
          <w:b w:val="0"/>
        </w:rPr>
        <w:t>Minimum scenarios: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Area</w:t>
            </w:r>
          </w:p>
        </w:tc>
        <w:tc>
          <w:tcPr>
            <w:tcW w:type="dxa" w:w="5040"/>
            <w:shd w:fill="1F4E79"/>
            <w:vAlign w:val="center"/>
          </w:tcPr>
          <w:p>
            <w:pPr>
              <w:spacing w:after="0"/>
            </w:pPr>
            <w:r>
              <w:rPr>
                <w:color w:val="FFFFFF"/>
                <w:sz w:val="17"/>
              </w:rPr>
            </w:r>
            <w:r>
              <w:rPr>
                <w:b/>
                <w:color w:val="FFFFFF"/>
                <w:sz w:val="17"/>
              </w:rPr>
              <w:t>Required test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Environment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Health check succeeds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Authentication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Register, login, refresh, logout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Profile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Submit profile and read profile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KYC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Start KYC session and handle status result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Beneficiary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Create, list, detail, archive beneficiary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Quote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Retrieve/display quote and handle expiry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Disclosure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Display required disclosure before acceptance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Transfer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Submit, confirm, fund, and poll transfer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Cancellation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Cancel eligible transfer and handle result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Errors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Token expired, validation error, quote expired, status blocking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Idempotency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Retry same write action safely</w:t>
            </w:r>
          </w:p>
        </w:tc>
      </w:tr>
      <w:tr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Rate limiting</w:t>
            </w:r>
          </w:p>
        </w:tc>
        <w:tc>
          <w:tcPr>
            <w:tcW w:type="dxa" w:w="5040"/>
            <w:vAlign w:val="center"/>
            <w:shd w:fill="F2F6FA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Handle throttled response correctly</w:t>
            </w:r>
          </w:p>
        </w:tc>
      </w:tr>
      <w:tr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Security</w:t>
            </w:r>
          </w:p>
        </w:tc>
        <w:tc>
          <w:tcPr>
            <w:tcW w:type="dxa" w:w="5040"/>
            <w:vAlign w:val="center"/>
          </w:tcPr>
          <w:p>
            <w:pPr>
              <w:spacing w:after="0"/>
            </w:pPr>
            <w:r>
              <w:rPr>
                <w:sz w:val="17"/>
              </w:rPr>
            </w:r>
            <w:r>
              <w:rPr>
                <w:b w:val="0"/>
                <w:sz w:val="17"/>
              </w:rPr>
              <w:t>Verify token storage and log redaction</w:t>
            </w:r>
          </w:p>
        </w:tc>
      </w:tr>
    </w:tbl>
    <w:p/>
    <w:p>
      <w:r>
        <w:rPr>
          <w:b w:val="0"/>
        </w:rPr>
        <w:t>YCMT may require evidence of completed scenarios before production credentials are issued.</w:t>
      </w:r>
    </w:p>
    <w:p>
      <w:pPr>
        <w:pStyle w:val="Heading1"/>
      </w:pPr>
      <w:r>
        <w:t>21. Go-live readiness checklist</w:t>
      </w:r>
    </w:p>
    <w:p>
      <w:r>
        <w:rPr>
          <w:b w:val="0"/>
        </w:rPr>
        <w:t>A partner development team is ready for production activation only when:</w:t>
      </w:r>
    </w:p>
    <w:p>
      <w:pPr>
        <w:pStyle w:val="ListBullet"/>
      </w:pPr>
      <w:r>
        <w:rPr>
          <w:b w:val="0"/>
        </w:rPr>
        <w:t>Sandbox tests are completed.</w:t>
      </w:r>
    </w:p>
    <w:p>
      <w:pPr>
        <w:pStyle w:val="ListBullet"/>
      </w:pPr>
      <w:r>
        <w:rPr>
          <w:b w:val="0"/>
        </w:rPr>
        <w:t>Error handling is implemented.</w:t>
      </w:r>
    </w:p>
    <w:p>
      <w:pPr>
        <w:pStyle w:val="ListBullet"/>
      </w:pPr>
      <w:r>
        <w:rPr>
          <w:b w:val="0"/>
        </w:rPr>
        <w:t>Token refresh and logout are implemented.</w:t>
      </w:r>
    </w:p>
    <w:p>
      <w:pPr>
        <w:pStyle w:val="ListBullet"/>
      </w:pPr>
      <w:r>
        <w:rPr>
          <w:b w:val="0"/>
        </w:rPr>
        <w:t>Idempotency keys are implemented for required write actions.</w:t>
      </w:r>
    </w:p>
    <w:p>
      <w:pPr>
        <w:pStyle w:val="ListBullet"/>
      </w:pPr>
      <w:r>
        <w:rPr>
          <w:b w:val="0"/>
        </w:rPr>
        <w:t>Correlation IDs are generated and retained for support.</w:t>
      </w:r>
    </w:p>
    <w:p>
      <w:pPr>
        <w:pStyle w:val="ListBullet"/>
      </w:pPr>
      <w:r>
        <w:rPr>
          <w:b w:val="0"/>
        </w:rPr>
        <w:t>Customer-safe remediation messages are implemented.</w:t>
      </w:r>
    </w:p>
    <w:p>
      <w:pPr>
        <w:pStyle w:val="ListBullet"/>
      </w:pPr>
      <w:r>
        <w:rPr>
          <w:b w:val="0"/>
        </w:rPr>
        <w:t>KYC and funding webviews are implemented using the approved pattern.</w:t>
      </w:r>
    </w:p>
    <w:p>
      <w:pPr>
        <w:pStyle w:val="ListBullet"/>
      </w:pPr>
      <w:r>
        <w:rPr>
          <w:b w:val="0"/>
        </w:rPr>
        <w:t>Sensitive data redaction is verified.</w:t>
      </w:r>
    </w:p>
    <w:p>
      <w:pPr>
        <w:pStyle w:val="ListBullet"/>
      </w:pPr>
      <w:r>
        <w:rPr>
          <w:b w:val="0"/>
        </w:rPr>
        <w:t>Production URLs and credentials are stored securely.</w:t>
      </w:r>
    </w:p>
    <w:p>
      <w:pPr>
        <w:pStyle w:val="ListBullet"/>
      </w:pPr>
      <w:r>
        <w:rPr>
          <w:b w:val="0"/>
        </w:rPr>
        <w:t>Partner operations and support teams know the escalation process.</w:t>
      </w:r>
    </w:p>
    <w:p>
      <w:pPr>
        <w:pStyle w:val="ListBullet"/>
      </w:pPr>
      <w:r>
        <w:rPr>
          <w:b w:val="0"/>
        </w:rPr>
        <w:t>YCMT has approved the technical go-live checklist.</w:t>
      </w:r>
    </w:p>
    <w:p>
      <w:pPr>
        <w:pStyle w:val="Heading1"/>
      </w:pPr>
      <w:r>
        <w:t>22. Escalation and support</w:t>
      </w:r>
    </w:p>
    <w:p>
      <w:r>
        <w:rPr>
          <w:b w:val="0"/>
        </w:rPr>
        <w:t>When escalating to YCMT support, include:</w:t>
      </w:r>
    </w:p>
    <w:p>
      <w:pPr>
        <w:pStyle w:val="ListBullet"/>
      </w:pPr>
      <w:r>
        <w:rPr>
          <w:b w:val="0"/>
        </w:rPr>
        <w:t>Environment: sandbox or production.</w:t>
      </w:r>
    </w:p>
    <w:p>
      <w:pPr>
        <w:pStyle w:val="ListBullet"/>
      </w:pPr>
      <w:r>
        <w:rPr>
          <w:b w:val="0"/>
        </w:rPr>
        <w:t>Partner application identifier.</w:t>
      </w:r>
    </w:p>
    <w:p>
      <w:pPr>
        <w:pStyle w:val="ListBullet"/>
      </w:pPr>
      <w:r>
        <w:rPr>
          <w:b w:val="0"/>
        </w:rPr>
        <w:t>Endpoint called.</w:t>
      </w:r>
    </w:p>
    <w:p>
      <w:pPr>
        <w:pStyle w:val="ListBullet"/>
      </w:pPr>
      <w:r>
        <w:rPr>
          <w:b w:val="0"/>
        </w:rPr>
        <w:t>Timestamp in UTC.</w:t>
      </w:r>
    </w:p>
    <w:p>
      <w:pPr>
        <w:pStyle w:val="ListBullet"/>
      </w:pPr>
      <w:r>
        <w:rPr>
          <w:rFonts w:ascii="Courier New" w:hAnsi="Courier New" w:eastAsia="Courier New"/>
          <w:sz w:val="18"/>
        </w:rPr>
        <w:t>X-Correlation-Id</w:t>
      </w:r>
      <w:r>
        <w:rPr>
          <w:b w:val="0"/>
        </w:rPr>
        <w:t>.</w:t>
      </w:r>
    </w:p>
    <w:p>
      <w:pPr>
        <w:pStyle w:val="ListBullet"/>
      </w:pPr>
      <w:r>
        <w:rPr>
          <w:b w:val="0"/>
        </w:rPr>
        <w:t>Error code, if any.</w:t>
      </w:r>
    </w:p>
    <w:p>
      <w:pPr>
        <w:pStyle w:val="ListBullet"/>
      </w:pPr>
      <w:r>
        <w:rPr>
          <w:b w:val="0"/>
        </w:rPr>
        <w:t>Sanitised request/response sample.</w:t>
      </w:r>
    </w:p>
    <w:p>
      <w:pPr>
        <w:pStyle w:val="ListBullet"/>
      </w:pPr>
      <w:r>
        <w:rPr>
          <w:b w:val="0"/>
        </w:rPr>
        <w:t>Customer-facing impact.</w:t>
      </w:r>
    </w:p>
    <w:p>
      <w:r>
        <w:rPr>
          <w:b w:val="0"/>
        </w:rPr>
        <w:t>Do not send:</w:t>
      </w:r>
    </w:p>
    <w:p>
      <w:pPr>
        <w:pStyle w:val="ListBullet"/>
      </w:pPr>
      <w:r>
        <w:rPr>
          <w:b w:val="0"/>
        </w:rPr>
        <w:t>Full access tokens.</w:t>
      </w:r>
    </w:p>
    <w:p>
      <w:pPr>
        <w:pStyle w:val="ListBullet"/>
      </w:pPr>
      <w:r>
        <w:rPr>
          <w:b w:val="0"/>
        </w:rPr>
        <w:t>Refresh tokens.</w:t>
      </w:r>
    </w:p>
    <w:p>
      <w:pPr>
        <w:pStyle w:val="ListBullet"/>
      </w:pPr>
      <w:r>
        <w:rPr>
          <w:b w:val="0"/>
        </w:rPr>
        <w:t>Passwords.</w:t>
      </w:r>
    </w:p>
    <w:p>
      <w:pPr>
        <w:pStyle w:val="ListBullet"/>
      </w:pPr>
      <w:r>
        <w:rPr>
          <w:b w:val="0"/>
        </w:rPr>
        <w:t>OTPs.</w:t>
      </w:r>
    </w:p>
    <w:p>
      <w:pPr>
        <w:pStyle w:val="ListBullet"/>
      </w:pPr>
      <w:r>
        <w:rPr>
          <w:b w:val="0"/>
        </w:rPr>
        <w:t>Private keys.</w:t>
      </w:r>
    </w:p>
    <w:p>
      <w:pPr>
        <w:pStyle w:val="ListBullet"/>
      </w:pPr>
      <w:r>
        <w:rPr>
          <w:b w:val="0"/>
        </w:rPr>
        <w:t>Unredacted identity documents.</w:t>
      </w:r>
    </w:p>
    <w:p>
      <w:pPr>
        <w:pStyle w:val="ListBullet"/>
      </w:pPr>
      <w:r>
        <w:rPr>
          <w:b w:val="0"/>
        </w:rPr>
        <w:t>Full card or bank credentials.</w:t>
      </w:r>
    </w:p>
    <w:p>
      <w:pPr>
        <w:pStyle w:val="Heading1"/>
      </w:pPr>
      <w:r>
        <w:t>23. Related partner developer documents</w:t>
      </w:r>
    </w:p>
    <w:p>
      <w:r>
        <w:rPr>
          <w:b w:val="0"/>
        </w:rPr>
        <w:t>This Getting Started guide is the entry point. The full partner developer pack also includes:</w:t>
      </w:r>
    </w:p>
    <w:p>
      <w:pPr>
        <w:pStyle w:val="CodeBlock"/>
      </w:pPr>
      <w:r>
        <w:t>60_YCMT_EU_PartnerDev_API_Guide_v1_0.md</w:t>
      </w:r>
    </w:p>
    <w:p>
      <w:pPr>
        <w:pStyle w:val="CodeBlock"/>
      </w:pPr>
      <w:r>
        <w:t>60_YCMT_EU_PartnerDev_Flows_Guide_v1_0.md</w:t>
      </w:r>
    </w:p>
    <w:p>
      <w:pPr>
        <w:pStyle w:val="CodeBlock"/>
      </w:pPr>
      <w:r>
        <w:t>60_YCMT_EU_PartnerDev_Errors_Statuses_And_Retry_Guide_v1_0.md</w:t>
      </w:r>
    </w:p>
    <w:p>
      <w:pPr>
        <w:pStyle w:val="CodeBlock"/>
      </w:pPr>
      <w:r>
        <w:t>60_YCMT_EU_PartnerDev_Security_And_Signing_Guide_v1_0.md</w:t>
      </w:r>
    </w:p>
    <w:p>
      <w:pPr>
        <w:pStyle w:val="CodeBlock"/>
      </w:pPr>
      <w:r>
        <w:t>60_YCMT_EU_PartnerDev_Sandbox_And_GoLive_Guide_v1_0.md</w:t>
      </w:r>
    </w:p>
    <w:p>
      <w:pPr>
        <w:pStyle w:val="CodeBlock"/>
      </w:pPr>
      <w:r>
        <w:t>60_YCMT_EU_PartnerDev_OpenAPI_And_Postman_Pack/</w:t>
      </w:r>
    </w:p>
    <w:p>
      <w:pPr>
        <w:pStyle w:val="Heading1"/>
      </w:pPr>
      <w:r>
        <w:t>24. Final integration rule</w:t>
      </w:r>
    </w:p>
    <w:p>
      <w:r>
        <w:rPr>
          <w:b w:val="0"/>
        </w:rPr>
        <w:t>The partner application must use the YCMT APIs exactly as documented. Any customer registration, KYC, quote acceptance, transfer creation, confirmation, funding, cancellation, or refund action must go through the YCMT-controlled API and customer-authorised flow.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08080"/>
        <w:sz w:val="16"/>
      </w:rPr>
      <w:t>Confidential - YCMT EU partner onboarding documentation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808080"/>
        <w:sz w:val="16"/>
      </w:rPr>
      <w:t>YCMT EU Partner Developer Guide | Getting Started | 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2" w:lineRule="auto"/>
    </w:pPr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44444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after="40"/>
      <w:ind w:left="216"/>
    </w:pPr>
    <w:rPr>
      <w:rFonts w:ascii="Courier New" w:hAnsi="Courier New" w:eastAsia="Courier New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