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8"/>
        </w:rPr>
        <w:t>YCMT EU Partner Developer</w:t>
        <w:br/>
        <w:t>Flows Guide</w:t>
      </w:r>
    </w:p>
    <w:p>
      <w:pPr>
        <w:jc w:val="center"/>
      </w:pPr>
      <w:r>
        <w:rPr>
          <w:color w:val="5A5A5A"/>
          <w:sz w:val="24"/>
        </w:rPr>
        <w:t>Version 1.0 | Partner-safe integration guide</w:t>
      </w:r>
    </w:p>
    <w:p>
      <w:pPr>
        <w:jc w:val="center"/>
      </w:pPr>
      <w:r>
        <w:rPr>
          <w:sz w:val="20"/>
        </w:rPr>
        <w:t>For approved partner developers integrating with the YCMT EU white-label remittance API.</w:t>
      </w:r>
    </w:p>
    <w:p/>
    <w:tbl>
      <w:tblPr>
        <w:tblStyle w:val="TableGrid"/>
        <w:tblW w:type="auto" w:w="0"/>
        <w:jc w:val="center"/>
        <w:tblLook w:firstColumn="1" w:firstRow="1" w:lastColumn="0" w:lastRow="0" w:noHBand="0" w:noVBand="1" w:val="04A0"/>
      </w:tblPr>
      <w:tblGrid>
        <w:gridCol w:w="5112"/>
        <w:gridCol w:w="5112"/>
      </w:tblGrid>
      <w:tr>
        <w:tc>
          <w:tcPr>
            <w:tcW w:type="dxa" w:w="2160"/>
            <w:shd w:fill="D9EAF7"/>
            <w:vAlign w:val="center"/>
          </w:tcPr>
          <w:p>
            <w:r/>
            <w:r>
              <w:rPr>
                <w:b/>
                <w:sz w:val="17"/>
              </w:rPr>
              <w:t>Field</w:t>
            </w:r>
          </w:p>
        </w:tc>
        <w:tc>
          <w:tcPr>
            <w:tcW w:type="dxa" w:w="7920"/>
            <w:shd w:fill="D9EAF7"/>
            <w:vAlign w:val="center"/>
          </w:tcPr>
          <w:p>
            <w:r/>
            <w:r>
              <w:rPr>
                <w:b/>
                <w:sz w:val="17"/>
              </w:rPr>
              <w:t>Value</w:t>
            </w:r>
          </w:p>
        </w:tc>
      </w:tr>
      <w:tr>
        <w:tc>
          <w:tcPr>
            <w:tcW w:type="dxa" w:w="2160"/>
            <w:vAlign w:val="top"/>
          </w:tcPr>
          <w:p>
            <w:r/>
            <w:r>
              <w:rPr>
                <w:b w:val="0"/>
                <w:sz w:val="17"/>
              </w:rPr>
              <w:t>Document</w:t>
            </w:r>
          </w:p>
        </w:tc>
        <w:tc>
          <w:tcPr>
            <w:tcW w:type="dxa" w:w="7920"/>
            <w:vAlign w:val="top"/>
          </w:tcPr>
          <w:p>
            <w:r/>
            <w:r>
              <w:rPr>
                <w:b w:val="0"/>
                <w:sz w:val="17"/>
              </w:rPr>
              <w:t>60_YCMT_EU_PartnerDev_Flows_Guide_v1_0.docx</w:t>
            </w:r>
          </w:p>
        </w:tc>
      </w:tr>
      <w:tr>
        <w:tc>
          <w:tcPr>
            <w:tcW w:type="dxa" w:w="2160"/>
            <w:vAlign w:val="top"/>
          </w:tcPr>
          <w:p>
            <w:r/>
            <w:r>
              <w:rPr>
                <w:b w:val="0"/>
                <w:sz w:val="17"/>
              </w:rPr>
              <w:t>Perimeter</w:t>
            </w:r>
          </w:p>
        </w:tc>
        <w:tc>
          <w:tcPr>
            <w:tcW w:type="dxa" w:w="7920"/>
            <w:vAlign w:val="top"/>
          </w:tcPr>
          <w:p>
            <w:r/>
            <w:r>
              <w:rPr>
                <w:b w:val="0"/>
                <w:sz w:val="17"/>
              </w:rPr>
              <w:t>YCMT EU only</w:t>
            </w:r>
          </w:p>
        </w:tc>
      </w:tr>
      <w:tr>
        <w:tc>
          <w:tcPr>
            <w:tcW w:type="dxa" w:w="2160"/>
            <w:vAlign w:val="top"/>
          </w:tcPr>
          <w:p>
            <w:r/>
            <w:r>
              <w:rPr>
                <w:b w:val="0"/>
                <w:sz w:val="17"/>
              </w:rPr>
              <w:t>Audience</w:t>
            </w:r>
          </w:p>
        </w:tc>
        <w:tc>
          <w:tcPr>
            <w:tcW w:type="dxa" w:w="7920"/>
            <w:vAlign w:val="top"/>
          </w:tcPr>
          <w:p>
            <w:r/>
            <w:r>
              <w:rPr>
                <w:b w:val="0"/>
                <w:sz w:val="17"/>
              </w:rPr>
              <w:t>Approved partner developers, partner technical architects, partner QA teams</w:t>
            </w:r>
          </w:p>
        </w:tc>
      </w:tr>
      <w:tr>
        <w:tc>
          <w:tcPr>
            <w:tcW w:type="dxa" w:w="2160"/>
            <w:vAlign w:val="top"/>
          </w:tcPr>
          <w:p>
            <w:r/>
            <w:r>
              <w:rPr>
                <w:b w:val="0"/>
                <w:sz w:val="17"/>
              </w:rPr>
              <w:t>Scope</w:t>
            </w:r>
          </w:p>
        </w:tc>
        <w:tc>
          <w:tcPr>
            <w:tcW w:type="dxa" w:w="7920"/>
            <w:vAlign w:val="top"/>
          </w:tcPr>
          <w:p>
            <w:r/>
            <w:r>
              <w:rPr>
                <w:b w:val="0"/>
                <w:sz w:val="17"/>
              </w:rPr>
              <w:t>End-to-end customer and transfer journeys using the YCMT EU partner-facing API surface</w:t>
            </w:r>
          </w:p>
        </w:tc>
      </w:tr>
      <w:tr>
        <w:tc>
          <w:tcPr>
            <w:tcW w:type="dxa" w:w="2160"/>
            <w:vAlign w:val="top"/>
          </w:tcPr>
          <w:p>
            <w:r/>
            <w:r>
              <w:rPr>
                <w:b w:val="0"/>
                <w:sz w:val="17"/>
              </w:rPr>
              <w:t>Status</w:t>
            </w:r>
          </w:p>
        </w:tc>
        <w:tc>
          <w:tcPr>
            <w:tcW w:type="dxa" w:w="7920"/>
            <w:vAlign w:val="top"/>
          </w:tcPr>
          <w:p>
            <w:r/>
            <w:r>
              <w:rPr>
                <w:b w:val="0"/>
                <w:sz w:val="17"/>
              </w:rPr>
              <w:t>Draft v1.0 for partner developer pack</w:t>
            </w:r>
          </w:p>
        </w:tc>
      </w:tr>
      <w:tr>
        <w:tc>
          <w:tcPr>
            <w:tcW w:type="dxa" w:w="2160"/>
            <w:vAlign w:val="top"/>
          </w:tcPr>
          <w:p>
            <w:r/>
            <w:r>
              <w:rPr>
                <w:b w:val="0"/>
                <w:sz w:val="17"/>
              </w:rPr>
              <w:t>Internal detail policy</w:t>
            </w:r>
          </w:p>
        </w:tc>
        <w:tc>
          <w:tcPr>
            <w:tcW w:type="dxa" w:w="7920"/>
            <w:vAlign w:val="top"/>
          </w:tcPr>
          <w:p>
            <w:r/>
            <w:r>
              <w:rPr>
                <w:b w:val="0"/>
                <w:sz w:val="17"/>
              </w:rPr>
              <w:t>Partner-safe: no internal system design, no internal identifiers, no internal decision logic</w:t>
            </w:r>
          </w:p>
        </w:tc>
      </w:tr>
    </w:tbl>
    <w:p>
      <w:r>
        <w:br w:type="page"/>
      </w:r>
    </w:p>
    <w:p>
      <w:pPr>
        <w:pStyle w:val="Heading1"/>
      </w:pPr>
      <w:r>
        <w:t>1. Purpose</w:t>
      </w:r>
    </w:p>
    <w:p>
      <w:r>
        <w:t>This guide explains how the YCMT EU API calls fit together into complete customer journeys. It is designed for partner developers who need to build a working customer experience without reading internal architecture documents.</w:t>
      </w:r>
    </w:p>
    <w:p>
      <w:pPr/>
      <w:r>
        <w:rPr>
          <w:b/>
          <w:color w:val="1F4E79"/>
        </w:rPr>
        <w:t xml:space="preserve">Partner-safe scope: </w:t>
      </w:r>
      <w:r>
        <w:t>This document explains the external API behaviour only. It intentionally does not describe YCMT internal systems, internal identifiers, internal routing, internal risk rules, or internal approval workflows.</w:t>
      </w:r>
    </w:p>
    <w:p>
      <w:pPr>
        <w:pStyle w:val="Heading1"/>
      </w:pPr>
      <w:r>
        <w:t>2. What this guide covers</w:t>
      </w:r>
    </w:p>
    <w:p>
      <w:pPr>
        <w:pStyle w:val="ListBullet"/>
      </w:pPr>
      <w:r>
        <w:t>New customer onboarding from registration to first transfer readiness.</w:t>
      </w:r>
    </w:p>
    <w:p>
      <w:pPr>
        <w:pStyle w:val="ListBullet"/>
      </w:pPr>
      <w:r>
        <w:t>Returning customer login and token refresh patterns.</w:t>
      </w:r>
    </w:p>
    <w:p>
      <w:pPr>
        <w:pStyle w:val="ListBullet"/>
      </w:pPr>
      <w:r>
        <w:t>KYC capture and remediation handling.</w:t>
      </w:r>
    </w:p>
    <w:p>
      <w:pPr>
        <w:pStyle w:val="ListBullet"/>
      </w:pPr>
      <w:r>
        <w:t>Beneficiary creation and validation handling.</w:t>
      </w:r>
    </w:p>
    <w:p>
      <w:pPr>
        <w:pStyle w:val="ListBullet"/>
      </w:pPr>
      <w:r>
        <w:t>Quote, disclosure, acceptance, transfer creation, confirmation, funding, and transfer status polling.</w:t>
      </w:r>
    </w:p>
    <w:p>
      <w:pPr>
        <w:pStyle w:val="ListBullet"/>
      </w:pPr>
      <w:r>
        <w:t>Cancellation and refund-facing status handling.</w:t>
      </w:r>
    </w:p>
    <w:p>
      <w:pPr>
        <w:pStyle w:val="ListBullet"/>
      </w:pPr>
      <w:r>
        <w:t>Customer-status scenarios that require partner UX handling or escalation.</w:t>
      </w:r>
    </w:p>
    <w:p>
      <w:pPr>
        <w:pStyle w:val="Heading1"/>
      </w:pPr>
      <w:r>
        <w:t>3. High-level integration sequence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720"/>
            <w:shd w:fill="D9EAF7"/>
            <w:vAlign w:val="center"/>
          </w:tcPr>
          <w:p>
            <w:r/>
            <w:r>
              <w:rPr>
                <w:b/>
                <w:sz w:val="17"/>
              </w:rPr>
              <w:t>Step</w:t>
            </w:r>
          </w:p>
        </w:tc>
        <w:tc>
          <w:tcPr>
            <w:tcW w:type="dxa" w:w="2304"/>
            <w:shd w:fill="D9EAF7"/>
            <w:vAlign w:val="center"/>
          </w:tcPr>
          <w:p>
            <w:r/>
            <w:r>
              <w:rPr>
                <w:b/>
                <w:sz w:val="17"/>
              </w:rPr>
              <w:t>Capability</w:t>
            </w:r>
          </w:p>
        </w:tc>
        <w:tc>
          <w:tcPr>
            <w:tcW w:type="dxa" w:w="2448"/>
            <w:shd w:fill="D9EAF7"/>
            <w:vAlign w:val="center"/>
          </w:tcPr>
          <w:p>
            <w:r/>
            <w:r>
              <w:rPr>
                <w:b/>
                <w:sz w:val="17"/>
              </w:rPr>
              <w:t>Main API area</w:t>
            </w:r>
          </w:p>
        </w:tc>
        <w:tc>
          <w:tcPr>
            <w:tcW w:type="dxa" w:w="4608"/>
            <w:shd w:fill="D9EAF7"/>
            <w:vAlign w:val="center"/>
          </w:tcPr>
          <w:p>
            <w:r/>
            <w:r>
              <w:rPr>
                <w:b/>
                <w:sz w:val="17"/>
              </w:rPr>
              <w:t>Partner app outcome</w:t>
            </w:r>
          </w:p>
        </w:tc>
      </w:tr>
      <w:tr>
        <w:tc>
          <w:tcPr>
            <w:tcW w:type="dxa" w:w="720"/>
            <w:vAlign w:val="top"/>
          </w:tcPr>
          <w:p>
            <w:r/>
            <w:r>
              <w:rPr>
                <w:b w:val="0"/>
                <w:sz w:val="17"/>
              </w:rPr>
              <w:t>1</w:t>
            </w:r>
          </w:p>
        </w:tc>
        <w:tc>
          <w:tcPr>
            <w:tcW w:type="dxa" w:w="2304"/>
            <w:vAlign w:val="top"/>
          </w:tcPr>
          <w:p>
            <w:r/>
            <w:r>
              <w:rPr>
                <w:b w:val="0"/>
                <w:sz w:val="17"/>
              </w:rPr>
              <w:t>Register or log in customer</w:t>
            </w:r>
          </w:p>
        </w:tc>
        <w:tc>
          <w:tcPr>
            <w:tcW w:type="dxa" w:w="2448"/>
            <w:vAlign w:val="top"/>
          </w:tcPr>
          <w:p>
            <w:r/>
            <w:r>
              <w:rPr>
                <w:b w:val="0"/>
                <w:sz w:val="17"/>
              </w:rPr>
              <w:t>Auth API</w:t>
            </w:r>
          </w:p>
        </w:tc>
        <w:tc>
          <w:tcPr>
            <w:tcW w:type="dxa" w:w="4608"/>
            <w:vAlign w:val="top"/>
          </w:tcPr>
          <w:p>
            <w:r/>
            <w:r>
              <w:rPr>
                <w:b w:val="0"/>
                <w:sz w:val="17"/>
              </w:rPr>
              <w:t>Customer receives an access token for customer-context calls.</w:t>
            </w:r>
          </w:p>
        </w:tc>
      </w:tr>
      <w:tr>
        <w:tc>
          <w:tcPr>
            <w:tcW w:type="dxa" w:w="720"/>
            <w:vAlign w:val="top"/>
          </w:tcPr>
          <w:p>
            <w:r/>
            <w:r>
              <w:rPr>
                <w:b w:val="0"/>
                <w:sz w:val="17"/>
              </w:rPr>
              <w:t>2</w:t>
            </w:r>
          </w:p>
        </w:tc>
        <w:tc>
          <w:tcPr>
            <w:tcW w:type="dxa" w:w="2304"/>
            <w:vAlign w:val="top"/>
          </w:tcPr>
          <w:p>
            <w:r/>
            <w:r>
              <w:rPr>
                <w:b w:val="0"/>
                <w:sz w:val="17"/>
              </w:rPr>
              <w:t>Register customer device when required</w:t>
            </w:r>
          </w:p>
        </w:tc>
        <w:tc>
          <w:tcPr>
            <w:tcW w:type="dxa" w:w="2448"/>
            <w:vAlign w:val="top"/>
          </w:tcPr>
          <w:p>
            <w:r/>
            <w:r>
              <w:rPr>
                <w:b w:val="0"/>
                <w:sz w:val="17"/>
              </w:rPr>
              <w:t>Auth API</w:t>
            </w:r>
          </w:p>
        </w:tc>
        <w:tc>
          <w:tcPr>
            <w:tcW w:type="dxa" w:w="4608"/>
            <w:vAlign w:val="top"/>
          </w:tcPr>
          <w:p>
            <w:r/>
            <w:r>
              <w:rPr>
                <w:b w:val="0"/>
                <w:sz w:val="17"/>
              </w:rPr>
              <w:t>Customer device is ready for protected transfer confirmation.</w:t>
            </w:r>
          </w:p>
        </w:tc>
      </w:tr>
      <w:tr>
        <w:tc>
          <w:tcPr>
            <w:tcW w:type="dxa" w:w="720"/>
            <w:vAlign w:val="top"/>
          </w:tcPr>
          <w:p>
            <w:r/>
            <w:r>
              <w:rPr>
                <w:b w:val="0"/>
                <w:sz w:val="17"/>
              </w:rPr>
              <w:t>3</w:t>
            </w:r>
          </w:p>
        </w:tc>
        <w:tc>
          <w:tcPr>
            <w:tcW w:type="dxa" w:w="2304"/>
            <w:vAlign w:val="top"/>
          </w:tcPr>
          <w:p>
            <w:r/>
            <w:r>
              <w:rPr>
                <w:b w:val="0"/>
                <w:sz w:val="17"/>
              </w:rPr>
              <w:t>Capture profile and KYC</w:t>
            </w:r>
          </w:p>
        </w:tc>
        <w:tc>
          <w:tcPr>
            <w:tcW w:type="dxa" w:w="2448"/>
            <w:vAlign w:val="top"/>
          </w:tcPr>
          <w:p>
            <w:r/>
            <w:r>
              <w:rPr>
                <w:b w:val="0"/>
                <w:sz w:val="17"/>
              </w:rPr>
              <w:t>Core API + YCMT-hosted webview</w:t>
            </w:r>
          </w:p>
        </w:tc>
        <w:tc>
          <w:tcPr>
            <w:tcW w:type="dxa" w:w="4608"/>
            <w:vAlign w:val="top"/>
          </w:tcPr>
          <w:p>
            <w:r/>
            <w:r>
              <w:rPr>
                <w:b w:val="0"/>
                <w:sz w:val="17"/>
              </w:rPr>
              <w:t>Customer becomes eligible to transact once YCMT approves the KYC outcome.</w:t>
            </w:r>
          </w:p>
        </w:tc>
      </w:tr>
      <w:tr>
        <w:tc>
          <w:tcPr>
            <w:tcW w:type="dxa" w:w="720"/>
            <w:vAlign w:val="top"/>
          </w:tcPr>
          <w:p>
            <w:r/>
            <w:r>
              <w:rPr>
                <w:b w:val="0"/>
                <w:sz w:val="17"/>
              </w:rPr>
              <w:t>4</w:t>
            </w:r>
          </w:p>
        </w:tc>
        <w:tc>
          <w:tcPr>
            <w:tcW w:type="dxa" w:w="2304"/>
            <w:vAlign w:val="top"/>
          </w:tcPr>
          <w:p>
            <w:r/>
            <w:r>
              <w:rPr>
                <w:b w:val="0"/>
                <w:sz w:val="17"/>
              </w:rPr>
              <w:t>Create or select beneficiary</w:t>
            </w:r>
          </w:p>
        </w:tc>
        <w:tc>
          <w:tcPr>
            <w:tcW w:type="dxa" w:w="2448"/>
            <w:vAlign w:val="top"/>
          </w:tcPr>
          <w:p>
            <w:r/>
            <w:r>
              <w:rPr>
                <w:b w:val="0"/>
                <w:sz w:val="17"/>
              </w:rPr>
              <w:t>Core API</w:t>
            </w:r>
          </w:p>
        </w:tc>
        <w:tc>
          <w:tcPr>
            <w:tcW w:type="dxa" w:w="4608"/>
            <w:vAlign w:val="top"/>
          </w:tcPr>
          <w:p>
            <w:r/>
            <w:r>
              <w:rPr>
                <w:b w:val="0"/>
                <w:sz w:val="17"/>
              </w:rPr>
              <w:t>Customer selects a payout recipient.</w:t>
            </w:r>
          </w:p>
        </w:tc>
      </w:tr>
      <w:tr>
        <w:tc>
          <w:tcPr>
            <w:tcW w:type="dxa" w:w="720"/>
            <w:vAlign w:val="top"/>
          </w:tcPr>
          <w:p>
            <w:r/>
            <w:r>
              <w:rPr>
                <w:b w:val="0"/>
                <w:sz w:val="17"/>
              </w:rPr>
              <w:t>5</w:t>
            </w:r>
          </w:p>
        </w:tc>
        <w:tc>
          <w:tcPr>
            <w:tcW w:type="dxa" w:w="2304"/>
            <w:vAlign w:val="top"/>
          </w:tcPr>
          <w:p>
            <w:r/>
            <w:r>
              <w:rPr>
                <w:b w:val="0"/>
                <w:sz w:val="17"/>
              </w:rPr>
              <w:t>Quote and disclosure</w:t>
            </w:r>
          </w:p>
        </w:tc>
        <w:tc>
          <w:tcPr>
            <w:tcW w:type="dxa" w:w="2448"/>
            <w:vAlign w:val="top"/>
          </w:tcPr>
          <w:p>
            <w:r/>
            <w:r>
              <w:rPr>
                <w:b w:val="0"/>
                <w:sz w:val="17"/>
              </w:rPr>
              <w:t>Core API + partner pricing surface where applicable</w:t>
            </w:r>
          </w:p>
        </w:tc>
        <w:tc>
          <w:tcPr>
            <w:tcW w:type="dxa" w:w="4608"/>
            <w:vAlign w:val="top"/>
          </w:tcPr>
          <w:p>
            <w:r/>
            <w:r>
              <w:rPr>
                <w:b w:val="0"/>
                <w:sz w:val="17"/>
              </w:rPr>
              <w:t>Customer sees price, FX, fees, recipient amount, and required disclosures.</w:t>
            </w:r>
          </w:p>
        </w:tc>
      </w:tr>
      <w:tr>
        <w:tc>
          <w:tcPr>
            <w:tcW w:type="dxa" w:w="720"/>
            <w:vAlign w:val="top"/>
          </w:tcPr>
          <w:p>
            <w:r/>
            <w:r>
              <w:rPr>
                <w:b w:val="0"/>
                <w:sz w:val="17"/>
              </w:rPr>
              <w:t>6</w:t>
            </w:r>
          </w:p>
        </w:tc>
        <w:tc>
          <w:tcPr>
            <w:tcW w:type="dxa" w:w="2304"/>
            <w:vAlign w:val="top"/>
          </w:tcPr>
          <w:p>
            <w:r/>
            <w:r>
              <w:rPr>
                <w:b w:val="0"/>
                <w:sz w:val="17"/>
              </w:rPr>
              <w:t>Accept quote and submit transfer</w:t>
            </w:r>
          </w:p>
        </w:tc>
        <w:tc>
          <w:tcPr>
            <w:tcW w:type="dxa" w:w="2448"/>
            <w:vAlign w:val="top"/>
          </w:tcPr>
          <w:p>
            <w:r/>
            <w:r>
              <w:rPr>
                <w:b w:val="0"/>
                <w:sz w:val="17"/>
              </w:rPr>
              <w:t>Core API</w:t>
            </w:r>
          </w:p>
        </w:tc>
        <w:tc>
          <w:tcPr>
            <w:tcW w:type="dxa" w:w="4608"/>
            <w:vAlign w:val="top"/>
          </w:tcPr>
          <w:p>
            <w:r/>
            <w:r>
              <w:rPr>
                <w:b w:val="0"/>
                <w:sz w:val="17"/>
              </w:rPr>
              <w:t>YCMT validates the request and creates a transfer flow.</w:t>
            </w:r>
          </w:p>
        </w:tc>
      </w:tr>
      <w:tr>
        <w:tc>
          <w:tcPr>
            <w:tcW w:type="dxa" w:w="720"/>
            <w:vAlign w:val="top"/>
          </w:tcPr>
          <w:p>
            <w:r/>
            <w:r>
              <w:rPr>
                <w:b w:val="0"/>
                <w:sz w:val="17"/>
              </w:rPr>
              <w:t>7</w:t>
            </w:r>
          </w:p>
        </w:tc>
        <w:tc>
          <w:tcPr>
            <w:tcW w:type="dxa" w:w="2304"/>
            <w:vAlign w:val="top"/>
          </w:tcPr>
          <w:p>
            <w:r/>
            <w:r>
              <w:rPr>
                <w:b w:val="0"/>
                <w:sz w:val="17"/>
              </w:rPr>
              <w:t>Confirm transfer and complete funding</w:t>
            </w:r>
          </w:p>
        </w:tc>
        <w:tc>
          <w:tcPr>
            <w:tcW w:type="dxa" w:w="2448"/>
            <w:vAlign w:val="top"/>
          </w:tcPr>
          <w:p>
            <w:r/>
            <w:r>
              <w:rPr>
                <w:b w:val="0"/>
                <w:sz w:val="17"/>
              </w:rPr>
              <w:t>Core API + YCMT-hosted webview</w:t>
            </w:r>
          </w:p>
        </w:tc>
        <w:tc>
          <w:tcPr>
            <w:tcW w:type="dxa" w:w="4608"/>
            <w:vAlign w:val="top"/>
          </w:tcPr>
          <w:p>
            <w:r/>
            <w:r>
              <w:rPr>
                <w:b w:val="0"/>
                <w:sz w:val="17"/>
              </w:rPr>
              <w:t>Customer confirms and completes funding through YCMT-controlled flow.</w:t>
            </w:r>
          </w:p>
        </w:tc>
      </w:tr>
      <w:tr>
        <w:tc>
          <w:tcPr>
            <w:tcW w:type="dxa" w:w="720"/>
            <w:vAlign w:val="top"/>
          </w:tcPr>
          <w:p>
            <w:r/>
            <w:r>
              <w:rPr>
                <w:b w:val="0"/>
                <w:sz w:val="17"/>
              </w:rPr>
              <w:t>8</w:t>
            </w:r>
          </w:p>
        </w:tc>
        <w:tc>
          <w:tcPr>
            <w:tcW w:type="dxa" w:w="2304"/>
            <w:vAlign w:val="top"/>
          </w:tcPr>
          <w:p>
            <w:r/>
            <w:r>
              <w:rPr>
                <w:b w:val="0"/>
                <w:sz w:val="17"/>
              </w:rPr>
              <w:t>Poll status and handle outcome</w:t>
            </w:r>
          </w:p>
        </w:tc>
        <w:tc>
          <w:tcPr>
            <w:tcW w:type="dxa" w:w="2448"/>
            <w:vAlign w:val="top"/>
          </w:tcPr>
          <w:p>
            <w:r/>
            <w:r>
              <w:rPr>
                <w:b w:val="0"/>
                <w:sz w:val="17"/>
              </w:rPr>
              <w:t>Core API</w:t>
            </w:r>
          </w:p>
        </w:tc>
        <w:tc>
          <w:tcPr>
            <w:tcW w:type="dxa" w:w="4608"/>
            <w:vAlign w:val="top"/>
          </w:tcPr>
          <w:p>
            <w:r/>
            <w:r>
              <w:rPr>
                <w:b w:val="0"/>
                <w:sz w:val="17"/>
              </w:rPr>
              <w:t>Partner app shows transfer progress and final outcome.</w:t>
            </w:r>
          </w:p>
        </w:tc>
      </w:tr>
    </w:tbl>
    <w:p>
      <w:pPr/>
      <w:r>
        <w:rPr>
          <w:b/>
          <w:color w:val="1F4E79"/>
        </w:rPr>
        <w:t xml:space="preserve">Golden rule: </w:t>
      </w:r>
      <w:r>
        <w:t>Any action that creates a financial obligation or moves money must be performed in the customer context using the documented customer access token. Partner server-side credentials alone must not be used to create or execute customer transfers.</w:t>
      </w:r>
    </w:p>
    <w:p>
      <w:pPr>
        <w:pStyle w:val="Heading1"/>
      </w:pPr>
      <w:r>
        <w:t>4. Common flow rules</w:t>
      </w:r>
    </w:p>
    <w:tbl>
      <w:tblPr>
        <w:tblStyle w:val="TableGrid"/>
        <w:tblW w:type="auto" w:w="0"/>
        <w:jc w:val="center"/>
        <w:tblLook w:firstColumn="1" w:firstRow="1" w:lastColumn="0" w:lastRow="0" w:noHBand="0" w:noVBand="1" w:val="04A0"/>
      </w:tblPr>
      <w:tblGrid>
        <w:gridCol w:w="5112"/>
        <w:gridCol w:w="5112"/>
      </w:tblGrid>
      <w:tr>
        <w:tc>
          <w:tcPr>
            <w:tcW w:type="dxa" w:w="2016"/>
            <w:shd w:fill="D9EAF7"/>
            <w:vAlign w:val="center"/>
          </w:tcPr>
          <w:p>
            <w:r/>
            <w:r>
              <w:rPr>
                <w:b/>
                <w:sz w:val="17"/>
              </w:rPr>
              <w:t>Rule</w:t>
            </w:r>
          </w:p>
        </w:tc>
        <w:tc>
          <w:tcPr>
            <w:tcW w:type="dxa" w:w="8064"/>
            <w:shd w:fill="D9EAF7"/>
            <w:vAlign w:val="center"/>
          </w:tcPr>
          <w:p>
            <w:r/>
            <w:r>
              <w:rPr>
                <w:b/>
                <w:sz w:val="17"/>
              </w:rPr>
              <w:t>Partner developer requirement</w:t>
            </w:r>
          </w:p>
        </w:tc>
      </w:tr>
      <w:tr>
        <w:tc>
          <w:tcPr>
            <w:tcW w:type="dxa" w:w="2016"/>
            <w:vAlign w:val="top"/>
          </w:tcPr>
          <w:p>
            <w:r/>
            <w:r>
              <w:rPr>
                <w:b w:val="0"/>
                <w:sz w:val="17"/>
              </w:rPr>
              <w:t>Access token</w:t>
            </w:r>
          </w:p>
        </w:tc>
        <w:tc>
          <w:tcPr>
            <w:tcW w:type="dxa" w:w="8064"/>
            <w:vAlign w:val="top"/>
          </w:tcPr>
          <w:p>
            <w:r/>
            <w:r>
              <w:rPr>
                <w:b w:val="0"/>
                <w:sz w:val="17"/>
              </w:rPr>
              <w:t>Send the customer access token in the Authorization header on every customer-context request.</w:t>
            </w:r>
          </w:p>
        </w:tc>
      </w:tr>
      <w:tr>
        <w:tc>
          <w:tcPr>
            <w:tcW w:type="dxa" w:w="2016"/>
            <w:vAlign w:val="top"/>
          </w:tcPr>
          <w:p>
            <w:r/>
            <w:r>
              <w:rPr>
                <w:b w:val="0"/>
                <w:sz w:val="17"/>
              </w:rPr>
              <w:t>Subscription ID</w:t>
            </w:r>
          </w:p>
        </w:tc>
        <w:tc>
          <w:tcPr>
            <w:tcW w:type="dxa" w:w="8064"/>
            <w:vAlign w:val="top"/>
          </w:tcPr>
          <w:p>
            <w:r/>
            <w:r>
              <w:rPr>
                <w:b w:val="0"/>
                <w:sz w:val="17"/>
              </w:rPr>
              <w:t>Treat subscriptionId as the partner-facing customer reference. Do not attempt to infer or request internal customer identifiers.</w:t>
            </w:r>
          </w:p>
        </w:tc>
      </w:tr>
      <w:tr>
        <w:tc>
          <w:tcPr>
            <w:tcW w:type="dxa" w:w="2016"/>
            <w:vAlign w:val="top"/>
          </w:tcPr>
          <w:p>
            <w:r/>
            <w:r>
              <w:rPr>
                <w:b w:val="0"/>
                <w:sz w:val="17"/>
              </w:rPr>
              <w:t>Idempotency</w:t>
            </w:r>
          </w:p>
        </w:tc>
        <w:tc>
          <w:tcPr>
            <w:tcW w:type="dxa" w:w="8064"/>
            <w:vAlign w:val="top"/>
          </w:tcPr>
          <w:p>
            <w:r/>
            <w:r>
              <w:rPr>
                <w:b w:val="0"/>
                <w:sz w:val="17"/>
              </w:rPr>
              <w:t>Send idempotency keys on write operations where specified by the API guide. Reuse the same key only for retrying the same business action.</w:t>
            </w:r>
          </w:p>
        </w:tc>
      </w:tr>
      <w:tr>
        <w:tc>
          <w:tcPr>
            <w:tcW w:type="dxa" w:w="2016"/>
            <w:vAlign w:val="top"/>
          </w:tcPr>
          <w:p>
            <w:r/>
            <w:r>
              <w:rPr>
                <w:b w:val="0"/>
                <w:sz w:val="17"/>
              </w:rPr>
              <w:t>Correlation ID</w:t>
            </w:r>
          </w:p>
        </w:tc>
        <w:tc>
          <w:tcPr>
            <w:tcW w:type="dxa" w:w="8064"/>
            <w:vAlign w:val="top"/>
          </w:tcPr>
          <w:p>
            <w:r/>
            <w:r>
              <w:rPr>
                <w:b w:val="0"/>
                <w:sz w:val="17"/>
              </w:rPr>
              <w:t>Send a correlation ID where supported and log it for support escalation.</w:t>
            </w:r>
          </w:p>
        </w:tc>
      </w:tr>
      <w:tr>
        <w:tc>
          <w:tcPr>
            <w:tcW w:type="dxa" w:w="2016"/>
            <w:vAlign w:val="top"/>
          </w:tcPr>
          <w:p>
            <w:r/>
            <w:r>
              <w:rPr>
                <w:b w:val="0"/>
                <w:sz w:val="17"/>
              </w:rPr>
              <w:t>Webviews</w:t>
            </w:r>
          </w:p>
        </w:tc>
        <w:tc>
          <w:tcPr>
            <w:tcW w:type="dxa" w:w="8064"/>
            <w:vAlign w:val="top"/>
          </w:tcPr>
          <w:p>
            <w:r/>
            <w:r>
              <w:rPr>
                <w:b w:val="0"/>
                <w:sz w:val="17"/>
              </w:rPr>
              <w:t>Launch YCMT-provided webview URLs inside the approved app/browser container and listen for completion/closure events.</w:t>
            </w:r>
          </w:p>
        </w:tc>
      </w:tr>
      <w:tr>
        <w:tc>
          <w:tcPr>
            <w:tcW w:type="dxa" w:w="2016"/>
            <w:vAlign w:val="top"/>
          </w:tcPr>
          <w:p>
            <w:r/>
            <w:r>
              <w:rPr>
                <w:b w:val="0"/>
                <w:sz w:val="17"/>
              </w:rPr>
              <w:t>Polling</w:t>
            </w:r>
          </w:p>
        </w:tc>
        <w:tc>
          <w:tcPr>
            <w:tcW w:type="dxa" w:w="8064"/>
            <w:vAlign w:val="top"/>
          </w:tcPr>
          <w:p>
            <w:r/>
            <w:r>
              <w:rPr>
                <w:b w:val="0"/>
                <w:sz w:val="17"/>
              </w:rPr>
              <w:t>Use documented polling cadence and stop polling when a terminal status is reached.</w:t>
            </w:r>
          </w:p>
        </w:tc>
      </w:tr>
      <w:tr>
        <w:tc>
          <w:tcPr>
            <w:tcW w:type="dxa" w:w="2016"/>
            <w:vAlign w:val="top"/>
          </w:tcPr>
          <w:p>
            <w:r/>
            <w:r>
              <w:rPr>
                <w:b w:val="0"/>
                <w:sz w:val="17"/>
              </w:rPr>
              <w:t>Errors</w:t>
            </w:r>
          </w:p>
        </w:tc>
        <w:tc>
          <w:tcPr>
            <w:tcW w:type="dxa" w:w="8064"/>
            <w:vAlign w:val="top"/>
          </w:tcPr>
          <w:p>
            <w:r/>
            <w:r>
              <w:rPr>
                <w:b w:val="0"/>
                <w:sz w:val="17"/>
              </w:rPr>
              <w:t>Handle error.code, hint, and remediation identifiers. Do not branch on free-text messages.</w:t>
            </w:r>
          </w:p>
        </w:tc>
      </w:tr>
      <w:tr>
        <w:tc>
          <w:tcPr>
            <w:tcW w:type="dxa" w:w="2016"/>
            <w:vAlign w:val="top"/>
          </w:tcPr>
          <w:p>
            <w:r/>
            <w:r>
              <w:rPr>
                <w:b w:val="0"/>
                <w:sz w:val="17"/>
              </w:rPr>
              <w:t>Customer messaging</w:t>
            </w:r>
          </w:p>
        </w:tc>
        <w:tc>
          <w:tcPr>
            <w:tcW w:type="dxa" w:w="8064"/>
            <w:vAlign w:val="top"/>
          </w:tcPr>
          <w:p>
            <w:r/>
            <w:r>
              <w:rPr>
                <w:b w:val="0"/>
                <w:sz w:val="17"/>
              </w:rPr>
              <w:t>Use YCMT-approved customer-safe wording. Do not reveal or guess internal compliance reasons.</w:t>
            </w:r>
          </w:p>
        </w:tc>
      </w:tr>
    </w:tbl>
    <w:p>
      <w:pPr>
        <w:pStyle w:val="Heading1"/>
      </w:pPr>
      <w:r>
        <w:t>5. Flow 1 - New customer onboarding</w:t>
      </w:r>
    </w:p>
    <w:p>
      <w:r>
        <w:t>Use this flow when a customer uses the partner app for the first time and does not yet have a YCMT EU customer session.</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720"/>
            <w:shd w:fill="D9EAF7"/>
            <w:vAlign w:val="center"/>
          </w:tcPr>
          <w:p>
            <w:r/>
            <w:r>
              <w:rPr>
                <w:b/>
                <w:sz w:val="17"/>
              </w:rPr>
              <w:t>Order</w:t>
            </w:r>
          </w:p>
        </w:tc>
        <w:tc>
          <w:tcPr>
            <w:tcW w:type="dxa" w:w="2592"/>
            <w:shd w:fill="D9EAF7"/>
            <w:vAlign w:val="center"/>
          </w:tcPr>
          <w:p>
            <w:r/>
            <w:r>
              <w:rPr>
                <w:b/>
                <w:sz w:val="17"/>
              </w:rPr>
              <w:t>Action</w:t>
            </w:r>
          </w:p>
        </w:tc>
        <w:tc>
          <w:tcPr>
            <w:tcW w:type="dxa" w:w="3168"/>
            <w:shd w:fill="D9EAF7"/>
            <w:vAlign w:val="center"/>
          </w:tcPr>
          <w:p>
            <w:r/>
            <w:r>
              <w:rPr>
                <w:b/>
                <w:sz w:val="17"/>
              </w:rPr>
              <w:t>Endpoint / surface</w:t>
            </w:r>
          </w:p>
        </w:tc>
        <w:tc>
          <w:tcPr>
            <w:tcW w:type="dxa" w:w="3600"/>
            <w:shd w:fill="D9EAF7"/>
            <w:vAlign w:val="center"/>
          </w:tcPr>
          <w:p>
            <w:r/>
            <w:r>
              <w:rPr>
                <w:b/>
                <w:sz w:val="17"/>
              </w:rPr>
              <w:t>Expected result</w:t>
            </w:r>
          </w:p>
        </w:tc>
      </w:tr>
      <w:tr>
        <w:tc>
          <w:tcPr>
            <w:tcW w:type="dxa" w:w="720"/>
            <w:vAlign w:val="top"/>
          </w:tcPr>
          <w:p>
            <w:r/>
            <w:r>
              <w:rPr>
                <w:b w:val="0"/>
                <w:sz w:val="17"/>
              </w:rPr>
              <w:t>1</w:t>
            </w:r>
          </w:p>
        </w:tc>
        <w:tc>
          <w:tcPr>
            <w:tcW w:type="dxa" w:w="2592"/>
            <w:vAlign w:val="top"/>
          </w:tcPr>
          <w:p>
            <w:r/>
            <w:r>
              <w:rPr>
                <w:b w:val="0"/>
                <w:sz w:val="17"/>
              </w:rPr>
              <w:t>Start registration with customer identifier</w:t>
            </w:r>
          </w:p>
        </w:tc>
        <w:tc>
          <w:tcPr>
            <w:tcW w:type="dxa" w:w="3168"/>
            <w:vAlign w:val="top"/>
          </w:tcPr>
          <w:p>
            <w:r/>
            <w:r>
              <w:rPr>
                <w:b w:val="0"/>
                <w:sz w:val="17"/>
              </w:rPr>
              <w:t>POST /v1/auth/register/start</w:t>
            </w:r>
          </w:p>
        </w:tc>
        <w:tc>
          <w:tcPr>
            <w:tcW w:type="dxa" w:w="3600"/>
            <w:vAlign w:val="top"/>
          </w:tcPr>
          <w:p>
            <w:r/>
            <w:r>
              <w:rPr>
                <w:b w:val="0"/>
                <w:sz w:val="17"/>
              </w:rPr>
              <w:t>YCMT returns a registration session or neutral response according to the API contract.</w:t>
            </w:r>
          </w:p>
        </w:tc>
      </w:tr>
      <w:tr>
        <w:tc>
          <w:tcPr>
            <w:tcW w:type="dxa" w:w="720"/>
            <w:vAlign w:val="top"/>
          </w:tcPr>
          <w:p>
            <w:r/>
            <w:r>
              <w:rPr>
                <w:b w:val="0"/>
                <w:sz w:val="17"/>
              </w:rPr>
              <w:t>2</w:t>
            </w:r>
          </w:p>
        </w:tc>
        <w:tc>
          <w:tcPr>
            <w:tcW w:type="dxa" w:w="2592"/>
            <w:vAlign w:val="top"/>
          </w:tcPr>
          <w:p>
            <w:r/>
            <w:r>
              <w:rPr>
                <w:b w:val="0"/>
                <w:sz w:val="17"/>
              </w:rPr>
              <w:t>Verify OTP</w:t>
            </w:r>
          </w:p>
        </w:tc>
        <w:tc>
          <w:tcPr>
            <w:tcW w:type="dxa" w:w="3168"/>
            <w:vAlign w:val="top"/>
          </w:tcPr>
          <w:p>
            <w:r/>
            <w:r>
              <w:rPr>
                <w:b w:val="0"/>
                <w:sz w:val="17"/>
              </w:rPr>
              <w:t>POST /v1/auth/register/verify-otp</w:t>
            </w:r>
          </w:p>
        </w:tc>
        <w:tc>
          <w:tcPr>
            <w:tcW w:type="dxa" w:w="3600"/>
            <w:vAlign w:val="top"/>
          </w:tcPr>
          <w:p>
            <w:r/>
            <w:r>
              <w:rPr>
                <w:b w:val="0"/>
                <w:sz w:val="17"/>
              </w:rPr>
              <w:t>OTP is accepted and the registration session may proceed.</w:t>
            </w:r>
          </w:p>
        </w:tc>
      </w:tr>
      <w:tr>
        <w:tc>
          <w:tcPr>
            <w:tcW w:type="dxa" w:w="720"/>
            <w:vAlign w:val="top"/>
          </w:tcPr>
          <w:p>
            <w:r/>
            <w:r>
              <w:rPr>
                <w:b w:val="0"/>
                <w:sz w:val="17"/>
              </w:rPr>
              <w:t>3</w:t>
            </w:r>
          </w:p>
        </w:tc>
        <w:tc>
          <w:tcPr>
            <w:tcW w:type="dxa" w:w="2592"/>
            <w:vAlign w:val="top"/>
          </w:tcPr>
          <w:p>
            <w:r/>
            <w:r>
              <w:rPr>
                <w:b w:val="0"/>
                <w:sz w:val="17"/>
              </w:rPr>
              <w:t>Set password / complete registration</w:t>
            </w:r>
          </w:p>
        </w:tc>
        <w:tc>
          <w:tcPr>
            <w:tcW w:type="dxa" w:w="3168"/>
            <w:vAlign w:val="top"/>
          </w:tcPr>
          <w:p>
            <w:r/>
            <w:r>
              <w:rPr>
                <w:b w:val="0"/>
                <w:sz w:val="17"/>
              </w:rPr>
              <w:t>POST /v1/auth/register/set-password or documented completion endpoint</w:t>
            </w:r>
          </w:p>
        </w:tc>
        <w:tc>
          <w:tcPr>
            <w:tcW w:type="dxa" w:w="3600"/>
            <w:vAlign w:val="top"/>
          </w:tcPr>
          <w:p>
            <w:r/>
            <w:r>
              <w:rPr>
                <w:b w:val="0"/>
                <w:sz w:val="17"/>
              </w:rPr>
              <w:t>Customer receives tokens and partner-visible subscriptionId.</w:t>
            </w:r>
          </w:p>
        </w:tc>
      </w:tr>
      <w:tr>
        <w:tc>
          <w:tcPr>
            <w:tcW w:type="dxa" w:w="720"/>
            <w:vAlign w:val="top"/>
          </w:tcPr>
          <w:p>
            <w:r/>
            <w:r>
              <w:rPr>
                <w:b w:val="0"/>
                <w:sz w:val="17"/>
              </w:rPr>
              <w:t>4</w:t>
            </w:r>
          </w:p>
        </w:tc>
        <w:tc>
          <w:tcPr>
            <w:tcW w:type="dxa" w:w="2592"/>
            <w:vAlign w:val="top"/>
          </w:tcPr>
          <w:p>
            <w:r/>
            <w:r>
              <w:rPr>
                <w:b w:val="0"/>
                <w:sz w:val="17"/>
              </w:rPr>
              <w:t>Register device if required</w:t>
            </w:r>
          </w:p>
        </w:tc>
        <w:tc>
          <w:tcPr>
            <w:tcW w:type="dxa" w:w="3168"/>
            <w:vAlign w:val="top"/>
          </w:tcPr>
          <w:p>
            <w:r/>
            <w:r>
              <w:rPr>
                <w:b w:val="0"/>
                <w:sz w:val="17"/>
              </w:rPr>
              <w:t>POST /v1/auth/device-registration/start and /complete</w:t>
            </w:r>
          </w:p>
        </w:tc>
        <w:tc>
          <w:tcPr>
            <w:tcW w:type="dxa" w:w="3600"/>
            <w:vAlign w:val="top"/>
          </w:tcPr>
          <w:p>
            <w:r/>
            <w:r>
              <w:rPr>
                <w:b w:val="0"/>
                <w:sz w:val="17"/>
              </w:rPr>
              <w:t>Customer device becomes eligible for protected confirmation flows.</w:t>
            </w:r>
          </w:p>
        </w:tc>
      </w:tr>
      <w:tr>
        <w:tc>
          <w:tcPr>
            <w:tcW w:type="dxa" w:w="720"/>
            <w:vAlign w:val="top"/>
          </w:tcPr>
          <w:p>
            <w:r/>
            <w:r>
              <w:rPr>
                <w:b w:val="0"/>
                <w:sz w:val="17"/>
              </w:rPr>
              <w:t>5</w:t>
            </w:r>
          </w:p>
        </w:tc>
        <w:tc>
          <w:tcPr>
            <w:tcW w:type="dxa" w:w="2592"/>
            <w:vAlign w:val="top"/>
          </w:tcPr>
          <w:p>
            <w:r/>
            <w:r>
              <w:rPr>
                <w:b w:val="0"/>
                <w:sz w:val="17"/>
              </w:rPr>
              <w:t>Submit customer profile</w:t>
            </w:r>
          </w:p>
        </w:tc>
        <w:tc>
          <w:tcPr>
            <w:tcW w:type="dxa" w:w="3168"/>
            <w:vAlign w:val="top"/>
          </w:tcPr>
          <w:p>
            <w:r/>
            <w:r>
              <w:rPr>
                <w:b w:val="0"/>
                <w:sz w:val="17"/>
              </w:rPr>
              <w:t>POST /v1/core/profile</w:t>
            </w:r>
          </w:p>
        </w:tc>
        <w:tc>
          <w:tcPr>
            <w:tcW w:type="dxa" w:w="3600"/>
            <w:vAlign w:val="top"/>
          </w:tcPr>
          <w:p>
            <w:r/>
            <w:r>
              <w:rPr>
                <w:b w:val="0"/>
                <w:sz w:val="17"/>
              </w:rPr>
              <w:t>Profile is captured for YCMT review and KYC flow.</w:t>
            </w:r>
          </w:p>
        </w:tc>
      </w:tr>
      <w:tr>
        <w:tc>
          <w:tcPr>
            <w:tcW w:type="dxa" w:w="720"/>
            <w:vAlign w:val="top"/>
          </w:tcPr>
          <w:p>
            <w:r/>
            <w:r>
              <w:rPr>
                <w:b w:val="0"/>
                <w:sz w:val="17"/>
              </w:rPr>
              <w:t>6</w:t>
            </w:r>
          </w:p>
        </w:tc>
        <w:tc>
          <w:tcPr>
            <w:tcW w:type="dxa" w:w="2592"/>
            <w:vAlign w:val="top"/>
          </w:tcPr>
          <w:p>
            <w:r/>
            <w:r>
              <w:rPr>
                <w:b w:val="0"/>
                <w:sz w:val="17"/>
              </w:rPr>
              <w:t>Start KYC session</w:t>
            </w:r>
          </w:p>
        </w:tc>
        <w:tc>
          <w:tcPr>
            <w:tcW w:type="dxa" w:w="3168"/>
            <w:vAlign w:val="top"/>
          </w:tcPr>
          <w:p>
            <w:r/>
            <w:r>
              <w:rPr>
                <w:b w:val="0"/>
                <w:sz w:val="17"/>
              </w:rPr>
              <w:t>POST /v1/core/kyc-sessions</w:t>
            </w:r>
          </w:p>
        </w:tc>
        <w:tc>
          <w:tcPr>
            <w:tcW w:type="dxa" w:w="3600"/>
            <w:vAlign w:val="top"/>
          </w:tcPr>
          <w:p>
            <w:r/>
            <w:r>
              <w:rPr>
                <w:b w:val="0"/>
                <w:sz w:val="17"/>
              </w:rPr>
              <w:t>YCMT returns KYC session information and webview URL.</w:t>
            </w:r>
          </w:p>
        </w:tc>
      </w:tr>
      <w:tr>
        <w:tc>
          <w:tcPr>
            <w:tcW w:type="dxa" w:w="720"/>
            <w:vAlign w:val="top"/>
          </w:tcPr>
          <w:p>
            <w:r/>
            <w:r>
              <w:rPr>
                <w:b w:val="0"/>
                <w:sz w:val="17"/>
              </w:rPr>
              <w:t>7</w:t>
            </w:r>
          </w:p>
        </w:tc>
        <w:tc>
          <w:tcPr>
            <w:tcW w:type="dxa" w:w="2592"/>
            <w:vAlign w:val="top"/>
          </w:tcPr>
          <w:p>
            <w:r/>
            <w:r>
              <w:rPr>
                <w:b w:val="0"/>
                <w:sz w:val="17"/>
              </w:rPr>
              <w:t>Launch KYC webview</w:t>
            </w:r>
          </w:p>
        </w:tc>
        <w:tc>
          <w:tcPr>
            <w:tcW w:type="dxa" w:w="3168"/>
            <w:vAlign w:val="top"/>
          </w:tcPr>
          <w:p>
            <w:r/>
            <w:r>
              <w:rPr>
                <w:b w:val="0"/>
                <w:sz w:val="17"/>
              </w:rPr>
              <w:t>YCMT-hosted webview</w:t>
            </w:r>
          </w:p>
        </w:tc>
        <w:tc>
          <w:tcPr>
            <w:tcW w:type="dxa" w:w="3600"/>
            <w:vAlign w:val="top"/>
          </w:tcPr>
          <w:p>
            <w:r/>
            <w:r>
              <w:rPr>
                <w:b w:val="0"/>
                <w:sz w:val="17"/>
              </w:rPr>
              <w:t>Customer completes document/liveness or other required steps.</w:t>
            </w:r>
          </w:p>
        </w:tc>
      </w:tr>
      <w:tr>
        <w:tc>
          <w:tcPr>
            <w:tcW w:type="dxa" w:w="720"/>
            <w:vAlign w:val="top"/>
          </w:tcPr>
          <w:p>
            <w:r/>
            <w:r>
              <w:rPr>
                <w:b w:val="0"/>
                <w:sz w:val="17"/>
              </w:rPr>
              <w:t>8</w:t>
            </w:r>
          </w:p>
        </w:tc>
        <w:tc>
          <w:tcPr>
            <w:tcW w:type="dxa" w:w="2592"/>
            <w:vAlign w:val="top"/>
          </w:tcPr>
          <w:p>
            <w:r/>
            <w:r>
              <w:rPr>
                <w:b w:val="0"/>
                <w:sz w:val="17"/>
              </w:rPr>
              <w:t>Check status</w:t>
            </w:r>
          </w:p>
        </w:tc>
        <w:tc>
          <w:tcPr>
            <w:tcW w:type="dxa" w:w="3168"/>
            <w:vAlign w:val="top"/>
          </w:tcPr>
          <w:p>
            <w:r/>
            <w:r>
              <w:rPr>
                <w:b w:val="0"/>
                <w:sz w:val="17"/>
              </w:rPr>
              <w:t>GET /v1/core/profile and/or GET /v1/core/kyc-sessions/{kycSessionId}</w:t>
            </w:r>
          </w:p>
        </w:tc>
        <w:tc>
          <w:tcPr>
            <w:tcW w:type="dxa" w:w="3600"/>
            <w:vAlign w:val="top"/>
          </w:tcPr>
          <w:p>
            <w:r/>
            <w:r>
              <w:rPr>
                <w:b w:val="0"/>
                <w:sz w:val="17"/>
              </w:rPr>
              <w:t>App shows whether the customer is ready, pending, or requires action.</w:t>
            </w:r>
          </w:p>
        </w:tc>
      </w:tr>
    </w:tbl>
    <w:p>
      <w:pPr>
        <w:pStyle w:val="ListBullet"/>
      </w:pPr>
      <w:r>
        <w:rPr>
          <w:b/>
        </w:rPr>
        <w:t xml:space="preserve">UX requirement: </w:t>
      </w:r>
      <w:r>
        <w:t>Do not present the customer as ready to send money until YCMT returns an eligible status through the documented API response.</w:t>
      </w:r>
    </w:p>
    <w:p>
      <w:pPr>
        <w:pStyle w:val="ListBullet"/>
      </w:pPr>
      <w:r>
        <w:rPr>
          <w:b/>
        </w:rPr>
        <w:t xml:space="preserve">Support requirement: </w:t>
      </w:r>
      <w:r>
        <w:t>If the customer is asked for more information, guide them back to the YCMT-provided remediation path. Do not ask the customer to send documents outside the approved flow.</w:t>
      </w:r>
    </w:p>
    <w:p>
      <w:pPr>
        <w:pStyle w:val="Heading1"/>
      </w:pPr>
      <w:r>
        <w:t>6. Flow 2 - Returning customer login</w:t>
      </w:r>
    </w:p>
    <w:p>
      <w:r>
        <w:t>Use this flow when a customer already has credentials and is returning to the partner app.</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720"/>
            <w:shd w:fill="D9EAF7"/>
            <w:vAlign w:val="center"/>
          </w:tcPr>
          <w:p>
            <w:r/>
            <w:r>
              <w:rPr>
                <w:b/>
                <w:sz w:val="17"/>
              </w:rPr>
              <w:t>Order</w:t>
            </w:r>
          </w:p>
        </w:tc>
        <w:tc>
          <w:tcPr>
            <w:tcW w:type="dxa" w:w="2592"/>
            <w:shd w:fill="D9EAF7"/>
            <w:vAlign w:val="center"/>
          </w:tcPr>
          <w:p>
            <w:r/>
            <w:r>
              <w:rPr>
                <w:b/>
                <w:sz w:val="17"/>
              </w:rPr>
              <w:t>Action</w:t>
            </w:r>
          </w:p>
        </w:tc>
        <w:tc>
          <w:tcPr>
            <w:tcW w:type="dxa" w:w="3168"/>
            <w:shd w:fill="D9EAF7"/>
            <w:vAlign w:val="center"/>
          </w:tcPr>
          <w:p>
            <w:r/>
            <w:r>
              <w:rPr>
                <w:b/>
                <w:sz w:val="17"/>
              </w:rPr>
              <w:t>Endpoint / surface</w:t>
            </w:r>
          </w:p>
        </w:tc>
        <w:tc>
          <w:tcPr>
            <w:tcW w:type="dxa" w:w="3600"/>
            <w:shd w:fill="D9EAF7"/>
            <w:vAlign w:val="center"/>
          </w:tcPr>
          <w:p>
            <w:r/>
            <w:r>
              <w:rPr>
                <w:b/>
                <w:sz w:val="17"/>
              </w:rPr>
              <w:t>Expected result</w:t>
            </w:r>
          </w:p>
        </w:tc>
      </w:tr>
      <w:tr>
        <w:tc>
          <w:tcPr>
            <w:tcW w:type="dxa" w:w="720"/>
            <w:vAlign w:val="top"/>
          </w:tcPr>
          <w:p>
            <w:r/>
            <w:r>
              <w:rPr>
                <w:b w:val="0"/>
                <w:sz w:val="17"/>
              </w:rPr>
              <w:t>1</w:t>
            </w:r>
          </w:p>
        </w:tc>
        <w:tc>
          <w:tcPr>
            <w:tcW w:type="dxa" w:w="2592"/>
            <w:vAlign w:val="top"/>
          </w:tcPr>
          <w:p>
            <w:r/>
            <w:r>
              <w:rPr>
                <w:b w:val="0"/>
                <w:sz w:val="17"/>
              </w:rPr>
              <w:t>Start login</w:t>
            </w:r>
          </w:p>
        </w:tc>
        <w:tc>
          <w:tcPr>
            <w:tcW w:type="dxa" w:w="3168"/>
            <w:vAlign w:val="top"/>
          </w:tcPr>
          <w:p>
            <w:r/>
            <w:r>
              <w:rPr>
                <w:b w:val="0"/>
                <w:sz w:val="17"/>
              </w:rPr>
              <w:t>POST /v1/auth/start</w:t>
            </w:r>
          </w:p>
        </w:tc>
        <w:tc>
          <w:tcPr>
            <w:tcW w:type="dxa" w:w="3600"/>
            <w:vAlign w:val="top"/>
          </w:tcPr>
          <w:p>
            <w:r/>
            <w:r>
              <w:rPr>
                <w:b w:val="0"/>
                <w:sz w:val="17"/>
              </w:rPr>
              <w:t>YCMT returns the next login step using a non-enumerating response pattern.</w:t>
            </w:r>
          </w:p>
        </w:tc>
      </w:tr>
      <w:tr>
        <w:tc>
          <w:tcPr>
            <w:tcW w:type="dxa" w:w="720"/>
            <w:vAlign w:val="top"/>
          </w:tcPr>
          <w:p>
            <w:r/>
            <w:r>
              <w:rPr>
                <w:b w:val="0"/>
                <w:sz w:val="17"/>
              </w:rPr>
              <w:t>2</w:t>
            </w:r>
          </w:p>
        </w:tc>
        <w:tc>
          <w:tcPr>
            <w:tcW w:type="dxa" w:w="2592"/>
            <w:vAlign w:val="top"/>
          </w:tcPr>
          <w:p>
            <w:r/>
            <w:r>
              <w:rPr>
                <w:b w:val="0"/>
                <w:sz w:val="17"/>
              </w:rPr>
              <w:t>Submit credentials</w:t>
            </w:r>
          </w:p>
        </w:tc>
        <w:tc>
          <w:tcPr>
            <w:tcW w:type="dxa" w:w="3168"/>
            <w:vAlign w:val="top"/>
          </w:tcPr>
          <w:p>
            <w:r/>
            <w:r>
              <w:rPr>
                <w:b w:val="0"/>
                <w:sz w:val="17"/>
              </w:rPr>
              <w:t>POST /v1/auth/login</w:t>
            </w:r>
          </w:p>
        </w:tc>
        <w:tc>
          <w:tcPr>
            <w:tcW w:type="dxa" w:w="3600"/>
            <w:vAlign w:val="top"/>
          </w:tcPr>
          <w:p>
            <w:r/>
            <w:r>
              <w:rPr>
                <w:b w:val="0"/>
                <w:sz w:val="17"/>
              </w:rPr>
              <w:t>Customer receives access token, refresh token, expiry, and subscriptionId if login succeeds.</w:t>
            </w:r>
          </w:p>
        </w:tc>
      </w:tr>
      <w:tr>
        <w:tc>
          <w:tcPr>
            <w:tcW w:type="dxa" w:w="720"/>
            <w:vAlign w:val="top"/>
          </w:tcPr>
          <w:p>
            <w:r/>
            <w:r>
              <w:rPr>
                <w:b w:val="0"/>
                <w:sz w:val="17"/>
              </w:rPr>
              <w:t>3</w:t>
            </w:r>
          </w:p>
        </w:tc>
        <w:tc>
          <w:tcPr>
            <w:tcW w:type="dxa" w:w="2592"/>
            <w:vAlign w:val="top"/>
          </w:tcPr>
          <w:p>
            <w:r/>
            <w:r>
              <w:rPr>
                <w:b w:val="0"/>
                <w:sz w:val="17"/>
              </w:rPr>
              <w:t>Handle MFA if required</w:t>
            </w:r>
          </w:p>
        </w:tc>
        <w:tc>
          <w:tcPr>
            <w:tcW w:type="dxa" w:w="3168"/>
            <w:vAlign w:val="top"/>
          </w:tcPr>
          <w:p>
            <w:r/>
            <w:r>
              <w:rPr>
                <w:b w:val="0"/>
                <w:sz w:val="17"/>
              </w:rPr>
              <w:t>Login response challenge fields, where applicable</w:t>
            </w:r>
          </w:p>
        </w:tc>
        <w:tc>
          <w:tcPr>
            <w:tcW w:type="dxa" w:w="3600"/>
            <w:vAlign w:val="top"/>
          </w:tcPr>
          <w:p>
            <w:r/>
            <w:r>
              <w:rPr>
                <w:b w:val="0"/>
                <w:sz w:val="17"/>
              </w:rPr>
              <w:t>App prompts the customer for the required verification step.</w:t>
            </w:r>
          </w:p>
        </w:tc>
      </w:tr>
      <w:tr>
        <w:tc>
          <w:tcPr>
            <w:tcW w:type="dxa" w:w="720"/>
            <w:vAlign w:val="top"/>
          </w:tcPr>
          <w:p>
            <w:r/>
            <w:r>
              <w:rPr>
                <w:b w:val="0"/>
                <w:sz w:val="17"/>
              </w:rPr>
              <w:t>4</w:t>
            </w:r>
          </w:p>
        </w:tc>
        <w:tc>
          <w:tcPr>
            <w:tcW w:type="dxa" w:w="2592"/>
            <w:vAlign w:val="top"/>
          </w:tcPr>
          <w:p>
            <w:r/>
            <w:r>
              <w:rPr>
                <w:b w:val="0"/>
                <w:sz w:val="17"/>
              </w:rPr>
              <w:t>Refresh token before expiry</w:t>
            </w:r>
          </w:p>
        </w:tc>
        <w:tc>
          <w:tcPr>
            <w:tcW w:type="dxa" w:w="3168"/>
            <w:vAlign w:val="top"/>
          </w:tcPr>
          <w:p>
            <w:r/>
            <w:r>
              <w:rPr>
                <w:b w:val="0"/>
                <w:sz w:val="17"/>
              </w:rPr>
              <w:t>POST /v1/auth/refresh</w:t>
            </w:r>
          </w:p>
        </w:tc>
        <w:tc>
          <w:tcPr>
            <w:tcW w:type="dxa" w:w="3600"/>
            <w:vAlign w:val="top"/>
          </w:tcPr>
          <w:p>
            <w:r/>
            <w:r>
              <w:rPr>
                <w:b w:val="0"/>
                <w:sz w:val="17"/>
              </w:rPr>
              <w:t>New access token is issued if refresh is valid.</w:t>
            </w:r>
          </w:p>
        </w:tc>
      </w:tr>
      <w:tr>
        <w:tc>
          <w:tcPr>
            <w:tcW w:type="dxa" w:w="720"/>
            <w:vAlign w:val="top"/>
          </w:tcPr>
          <w:p>
            <w:r/>
            <w:r>
              <w:rPr>
                <w:b w:val="0"/>
                <w:sz w:val="17"/>
              </w:rPr>
              <w:t>5</w:t>
            </w:r>
          </w:p>
        </w:tc>
        <w:tc>
          <w:tcPr>
            <w:tcW w:type="dxa" w:w="2592"/>
            <w:vAlign w:val="top"/>
          </w:tcPr>
          <w:p>
            <w:r/>
            <w:r>
              <w:rPr>
                <w:b w:val="0"/>
                <w:sz w:val="17"/>
              </w:rPr>
              <w:t>Logout</w:t>
            </w:r>
          </w:p>
        </w:tc>
        <w:tc>
          <w:tcPr>
            <w:tcW w:type="dxa" w:w="3168"/>
            <w:vAlign w:val="top"/>
          </w:tcPr>
          <w:p>
            <w:r/>
            <w:r>
              <w:rPr>
                <w:b w:val="0"/>
                <w:sz w:val="17"/>
              </w:rPr>
              <w:t>POST /v1/auth/logout</w:t>
            </w:r>
          </w:p>
        </w:tc>
        <w:tc>
          <w:tcPr>
            <w:tcW w:type="dxa" w:w="3600"/>
            <w:vAlign w:val="top"/>
          </w:tcPr>
          <w:p>
            <w:r/>
            <w:r>
              <w:rPr>
                <w:b w:val="0"/>
                <w:sz w:val="17"/>
              </w:rPr>
              <w:t>App clears local session material and follows documented logout result.</w:t>
            </w:r>
          </w:p>
        </w:tc>
      </w:tr>
    </w:tbl>
    <w:p>
      <w:pPr/>
      <w:r>
        <w:rPr>
          <w:b/>
          <w:color w:val="1F4E79"/>
        </w:rPr>
        <w:t xml:space="preserve">Do not enumerate customers: </w:t>
      </w:r>
      <w:r>
        <w:t>The app must not tell a user whether an identifier exists based on login or password-reset responses. Use neutral wording such as: "If your details are recognised, continue with the next step shown."</w:t>
      </w:r>
    </w:p>
    <w:p>
      <w:pPr>
        <w:pStyle w:val="Heading1"/>
      </w:pPr>
      <w:r>
        <w:t>7. Flow 3 - KYC completion and remediation</w:t>
      </w:r>
    </w:p>
    <w:p>
      <w:r>
        <w:t>The partner app hosts the user experience, but YCMT controls the KYC session, review, outcome, and remediation decisions.</w:t>
      </w:r>
    </w:p>
    <w:tbl>
      <w:tblPr>
        <w:tblStyle w:val="TableGrid"/>
        <w:tblW w:type="auto" w:w="0"/>
        <w:jc w:val="center"/>
        <w:tblLook w:firstColumn="1" w:firstRow="1" w:lastColumn="0" w:lastRow="0" w:noHBand="0" w:noVBand="1" w:val="04A0"/>
      </w:tblPr>
      <w:tblGrid>
        <w:gridCol w:w="5112"/>
        <w:gridCol w:w="5112"/>
      </w:tblGrid>
      <w:tr>
        <w:tc>
          <w:tcPr>
            <w:tcW w:type="dxa" w:w="2880"/>
            <w:shd w:fill="D9EAF7"/>
            <w:vAlign w:val="center"/>
          </w:tcPr>
          <w:p>
            <w:r/>
            <w:r>
              <w:rPr>
                <w:b/>
                <w:sz w:val="17"/>
              </w:rPr>
              <w:t>Scenario</w:t>
            </w:r>
          </w:p>
        </w:tc>
        <w:tc>
          <w:tcPr>
            <w:tcW w:type="dxa" w:w="7200"/>
            <w:shd w:fill="D9EAF7"/>
            <w:vAlign w:val="center"/>
          </w:tcPr>
          <w:p>
            <w:r/>
            <w:r>
              <w:rPr>
                <w:b/>
                <w:sz w:val="17"/>
              </w:rPr>
              <w:t>Partner app behaviour</w:t>
            </w:r>
          </w:p>
        </w:tc>
      </w:tr>
      <w:tr>
        <w:tc>
          <w:tcPr>
            <w:tcW w:type="dxa" w:w="2880"/>
            <w:vAlign w:val="top"/>
          </w:tcPr>
          <w:p>
            <w:r/>
            <w:r>
              <w:rPr>
                <w:b w:val="0"/>
                <w:sz w:val="17"/>
              </w:rPr>
              <w:t>KYC not started</w:t>
            </w:r>
          </w:p>
        </w:tc>
        <w:tc>
          <w:tcPr>
            <w:tcW w:type="dxa" w:w="7200"/>
            <w:vAlign w:val="top"/>
          </w:tcPr>
          <w:p>
            <w:r/>
            <w:r>
              <w:rPr>
                <w:b w:val="0"/>
                <w:sz w:val="17"/>
              </w:rPr>
              <w:t>Show a prompt to complete verification and call POST /v1/core/kyc-sessions.</w:t>
            </w:r>
          </w:p>
        </w:tc>
      </w:tr>
      <w:tr>
        <w:tc>
          <w:tcPr>
            <w:tcW w:type="dxa" w:w="2880"/>
            <w:vAlign w:val="top"/>
          </w:tcPr>
          <w:p>
            <w:r/>
            <w:r>
              <w:rPr>
                <w:b w:val="0"/>
                <w:sz w:val="17"/>
              </w:rPr>
              <w:t>KYC in progress</w:t>
            </w:r>
          </w:p>
        </w:tc>
        <w:tc>
          <w:tcPr>
            <w:tcW w:type="dxa" w:w="7200"/>
            <w:vAlign w:val="top"/>
          </w:tcPr>
          <w:p>
            <w:r/>
            <w:r>
              <w:rPr>
                <w:b w:val="0"/>
                <w:sz w:val="17"/>
              </w:rPr>
              <w:t>Show pending state. Avoid repeated session creation unless the current session is expired or the API instructs retry.</w:t>
            </w:r>
          </w:p>
        </w:tc>
      </w:tr>
      <w:tr>
        <w:tc>
          <w:tcPr>
            <w:tcW w:type="dxa" w:w="2880"/>
            <w:vAlign w:val="top"/>
          </w:tcPr>
          <w:p>
            <w:r/>
            <w:r>
              <w:rPr>
                <w:b w:val="0"/>
                <w:sz w:val="17"/>
              </w:rPr>
              <w:t>KYC approved</w:t>
            </w:r>
          </w:p>
        </w:tc>
        <w:tc>
          <w:tcPr>
            <w:tcW w:type="dxa" w:w="7200"/>
            <w:vAlign w:val="top"/>
          </w:tcPr>
          <w:p>
            <w:r/>
            <w:r>
              <w:rPr>
                <w:b w:val="0"/>
                <w:sz w:val="17"/>
              </w:rPr>
              <w:t>Allow the customer to proceed to beneficiary, quote, and transfer flows subject to other checks.</w:t>
            </w:r>
          </w:p>
        </w:tc>
      </w:tr>
      <w:tr>
        <w:tc>
          <w:tcPr>
            <w:tcW w:type="dxa" w:w="2880"/>
            <w:vAlign w:val="top"/>
          </w:tcPr>
          <w:p>
            <w:r/>
            <w:r>
              <w:rPr>
                <w:b w:val="0"/>
                <w:sz w:val="17"/>
              </w:rPr>
              <w:t>More information required</w:t>
            </w:r>
          </w:p>
        </w:tc>
        <w:tc>
          <w:tcPr>
            <w:tcW w:type="dxa" w:w="7200"/>
            <w:vAlign w:val="top"/>
          </w:tcPr>
          <w:p>
            <w:r/>
            <w:r>
              <w:rPr>
                <w:b w:val="0"/>
                <w:sz w:val="17"/>
              </w:rPr>
              <w:t>Show the remediation action returned by YCMT and route customer to the approved webview or upload step.</w:t>
            </w:r>
          </w:p>
        </w:tc>
      </w:tr>
      <w:tr>
        <w:tc>
          <w:tcPr>
            <w:tcW w:type="dxa" w:w="2880"/>
            <w:vAlign w:val="top"/>
          </w:tcPr>
          <w:p>
            <w:r/>
            <w:r>
              <w:rPr>
                <w:b w:val="0"/>
                <w:sz w:val="17"/>
              </w:rPr>
              <w:t>KYC rejected or customer blocked</w:t>
            </w:r>
          </w:p>
        </w:tc>
        <w:tc>
          <w:tcPr>
            <w:tcW w:type="dxa" w:w="7200"/>
            <w:vAlign w:val="top"/>
          </w:tcPr>
          <w:p>
            <w:r/>
            <w:r>
              <w:rPr>
                <w:b w:val="0"/>
                <w:sz w:val="17"/>
              </w:rPr>
              <w:t>Show generic support-oriented wording. Do not reveal or guess compliance reasons.</w:t>
            </w:r>
          </w:p>
        </w:tc>
      </w:tr>
    </w:tbl>
    <w:p>
      <w:pPr>
        <w:pStyle w:val="ListBullet"/>
      </w:pPr>
      <w:r>
        <w:t>Never allow the partner app or partner staff to override a KYC outcome.</w:t>
      </w:r>
    </w:p>
    <w:p>
      <w:pPr>
        <w:pStyle w:val="ListBullet"/>
      </w:pPr>
      <w:r>
        <w:t>Never collect KYC documents through unapproved email, chat, or partner-operated upload forms.</w:t>
      </w:r>
    </w:p>
    <w:p>
      <w:pPr>
        <w:pStyle w:val="ListBullet"/>
      </w:pPr>
      <w:r>
        <w:t>Always preserve correlation IDs for KYC support escalation.</w:t>
      </w:r>
    </w:p>
    <w:p>
      <w:pPr>
        <w:pStyle w:val="Heading1"/>
      </w:pPr>
      <w:r>
        <w:t>8. Flow 4 - Beneficiary creation</w:t>
      </w:r>
    </w:p>
    <w:p>
      <w:r>
        <w:t>A beneficiary is created in the customer context and is visible only within the partner/customer relationship that created it.</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720"/>
            <w:shd w:fill="D9EAF7"/>
            <w:vAlign w:val="center"/>
          </w:tcPr>
          <w:p>
            <w:r/>
            <w:r>
              <w:rPr>
                <w:b/>
                <w:sz w:val="17"/>
              </w:rPr>
              <w:t>Order</w:t>
            </w:r>
          </w:p>
        </w:tc>
        <w:tc>
          <w:tcPr>
            <w:tcW w:type="dxa" w:w="2592"/>
            <w:shd w:fill="D9EAF7"/>
            <w:vAlign w:val="center"/>
          </w:tcPr>
          <w:p>
            <w:r/>
            <w:r>
              <w:rPr>
                <w:b/>
                <w:sz w:val="17"/>
              </w:rPr>
              <w:t>Action</w:t>
            </w:r>
          </w:p>
        </w:tc>
        <w:tc>
          <w:tcPr>
            <w:tcW w:type="dxa" w:w="3168"/>
            <w:shd w:fill="D9EAF7"/>
            <w:vAlign w:val="center"/>
          </w:tcPr>
          <w:p>
            <w:r/>
            <w:r>
              <w:rPr>
                <w:b/>
                <w:sz w:val="17"/>
              </w:rPr>
              <w:t>Endpoint / surface</w:t>
            </w:r>
          </w:p>
        </w:tc>
        <w:tc>
          <w:tcPr>
            <w:tcW w:type="dxa" w:w="3600"/>
            <w:shd w:fill="D9EAF7"/>
            <w:vAlign w:val="center"/>
          </w:tcPr>
          <w:p>
            <w:r/>
            <w:r>
              <w:rPr>
                <w:b/>
                <w:sz w:val="17"/>
              </w:rPr>
              <w:t>Expected result</w:t>
            </w:r>
          </w:p>
        </w:tc>
      </w:tr>
      <w:tr>
        <w:tc>
          <w:tcPr>
            <w:tcW w:type="dxa" w:w="720"/>
            <w:vAlign w:val="top"/>
          </w:tcPr>
          <w:p>
            <w:r/>
            <w:r>
              <w:rPr>
                <w:b w:val="0"/>
                <w:sz w:val="17"/>
              </w:rPr>
              <w:t>1</w:t>
            </w:r>
          </w:p>
        </w:tc>
        <w:tc>
          <w:tcPr>
            <w:tcW w:type="dxa" w:w="2592"/>
            <w:vAlign w:val="top"/>
          </w:tcPr>
          <w:p>
            <w:r/>
            <w:r>
              <w:rPr>
                <w:b w:val="0"/>
                <w:sz w:val="17"/>
              </w:rPr>
              <w:t>List existing beneficiaries</w:t>
            </w:r>
          </w:p>
        </w:tc>
        <w:tc>
          <w:tcPr>
            <w:tcW w:type="dxa" w:w="3168"/>
            <w:vAlign w:val="top"/>
          </w:tcPr>
          <w:p>
            <w:r/>
            <w:r>
              <w:rPr>
                <w:b w:val="0"/>
                <w:sz w:val="17"/>
              </w:rPr>
              <w:t>GET /v1/core/beneficiaries</w:t>
            </w:r>
          </w:p>
        </w:tc>
        <w:tc>
          <w:tcPr>
            <w:tcW w:type="dxa" w:w="3600"/>
            <w:vAlign w:val="top"/>
          </w:tcPr>
          <w:p>
            <w:r/>
            <w:r>
              <w:rPr>
                <w:b w:val="0"/>
                <w:sz w:val="17"/>
              </w:rPr>
              <w:t>App displays saved beneficiaries available to this customer in this partner channel.</w:t>
            </w:r>
          </w:p>
        </w:tc>
      </w:tr>
      <w:tr>
        <w:tc>
          <w:tcPr>
            <w:tcW w:type="dxa" w:w="720"/>
            <w:vAlign w:val="top"/>
          </w:tcPr>
          <w:p>
            <w:r/>
            <w:r>
              <w:rPr>
                <w:b w:val="0"/>
                <w:sz w:val="17"/>
              </w:rPr>
              <w:t>2</w:t>
            </w:r>
          </w:p>
        </w:tc>
        <w:tc>
          <w:tcPr>
            <w:tcW w:type="dxa" w:w="2592"/>
            <w:vAlign w:val="top"/>
          </w:tcPr>
          <w:p>
            <w:r/>
            <w:r>
              <w:rPr>
                <w:b w:val="0"/>
                <w:sz w:val="17"/>
              </w:rPr>
              <w:t>Create beneficiary</w:t>
            </w:r>
          </w:p>
        </w:tc>
        <w:tc>
          <w:tcPr>
            <w:tcW w:type="dxa" w:w="3168"/>
            <w:vAlign w:val="top"/>
          </w:tcPr>
          <w:p>
            <w:r/>
            <w:r>
              <w:rPr>
                <w:b w:val="0"/>
                <w:sz w:val="17"/>
              </w:rPr>
              <w:t>POST /v1/core/beneficiaries</w:t>
            </w:r>
          </w:p>
        </w:tc>
        <w:tc>
          <w:tcPr>
            <w:tcW w:type="dxa" w:w="3600"/>
            <w:vAlign w:val="top"/>
          </w:tcPr>
          <w:p>
            <w:r/>
            <w:r>
              <w:rPr>
                <w:b w:val="0"/>
                <w:sz w:val="17"/>
              </w:rPr>
              <w:t>YCMT validates recipient details and corridor/payout requirements.</w:t>
            </w:r>
          </w:p>
        </w:tc>
      </w:tr>
      <w:tr>
        <w:tc>
          <w:tcPr>
            <w:tcW w:type="dxa" w:w="720"/>
            <w:vAlign w:val="top"/>
          </w:tcPr>
          <w:p>
            <w:r/>
            <w:r>
              <w:rPr>
                <w:b w:val="0"/>
                <w:sz w:val="17"/>
              </w:rPr>
              <w:t>3</w:t>
            </w:r>
          </w:p>
        </w:tc>
        <w:tc>
          <w:tcPr>
            <w:tcW w:type="dxa" w:w="2592"/>
            <w:vAlign w:val="top"/>
          </w:tcPr>
          <w:p>
            <w:r/>
            <w:r>
              <w:rPr>
                <w:b w:val="0"/>
                <w:sz w:val="17"/>
              </w:rPr>
              <w:t>Fetch beneficiary detail</w:t>
            </w:r>
          </w:p>
        </w:tc>
        <w:tc>
          <w:tcPr>
            <w:tcW w:type="dxa" w:w="3168"/>
            <w:vAlign w:val="top"/>
          </w:tcPr>
          <w:p>
            <w:r/>
            <w:r>
              <w:rPr>
                <w:b w:val="0"/>
                <w:sz w:val="17"/>
              </w:rPr>
              <w:t>GET /v1/core/beneficiaries/{beneficiaryId}</w:t>
            </w:r>
          </w:p>
        </w:tc>
        <w:tc>
          <w:tcPr>
            <w:tcW w:type="dxa" w:w="3600"/>
            <w:vAlign w:val="top"/>
          </w:tcPr>
          <w:p>
            <w:r/>
            <w:r>
              <w:rPr>
                <w:b w:val="0"/>
                <w:sz w:val="17"/>
              </w:rPr>
              <w:t>App confirms recipient details before quote or transfer.</w:t>
            </w:r>
          </w:p>
        </w:tc>
      </w:tr>
      <w:tr>
        <w:tc>
          <w:tcPr>
            <w:tcW w:type="dxa" w:w="720"/>
            <w:vAlign w:val="top"/>
          </w:tcPr>
          <w:p>
            <w:r/>
            <w:r>
              <w:rPr>
                <w:b w:val="0"/>
                <w:sz w:val="17"/>
              </w:rPr>
              <w:t>4</w:t>
            </w:r>
          </w:p>
        </w:tc>
        <w:tc>
          <w:tcPr>
            <w:tcW w:type="dxa" w:w="2592"/>
            <w:vAlign w:val="top"/>
          </w:tcPr>
          <w:p>
            <w:r/>
            <w:r>
              <w:rPr>
                <w:b w:val="0"/>
                <w:sz w:val="17"/>
              </w:rPr>
              <w:t>Archive beneficiary if requested</w:t>
            </w:r>
          </w:p>
        </w:tc>
        <w:tc>
          <w:tcPr>
            <w:tcW w:type="dxa" w:w="3168"/>
            <w:vAlign w:val="top"/>
          </w:tcPr>
          <w:p>
            <w:r/>
            <w:r>
              <w:rPr>
                <w:b w:val="0"/>
                <w:sz w:val="17"/>
              </w:rPr>
              <w:t>POST /v1/core/beneficiaries/{beneficiaryId}/archive</w:t>
            </w:r>
          </w:p>
        </w:tc>
        <w:tc>
          <w:tcPr>
            <w:tcW w:type="dxa" w:w="3600"/>
            <w:vAlign w:val="top"/>
          </w:tcPr>
          <w:p>
            <w:r/>
            <w:r>
              <w:rPr>
                <w:b w:val="0"/>
                <w:sz w:val="17"/>
              </w:rPr>
              <w:t>Beneficiary is no longer available for new transfers if archive succeeds.</w:t>
            </w:r>
          </w:p>
        </w:tc>
      </w:tr>
    </w:tbl>
    <w:p>
      <w:pPr/>
      <w:r>
        <w:rPr>
          <w:b/>
          <w:color w:val="1F4E79"/>
        </w:rPr>
        <w:t xml:space="preserve">Beneficiary validation: </w:t>
      </w:r>
      <w:r>
        <w:t>If YCMT rejects a destination country, payout method, mobile-money provider, account format, or recipient detail, the app must display the documented remediation and allow the customer to correct the input where permitted.</w:t>
      </w:r>
    </w:p>
    <w:p>
      <w:pPr>
        <w:pStyle w:val="Heading1"/>
      </w:pPr>
      <w:r>
        <w:t>9. Flow 5 - Quote, disclosure, and acceptance</w:t>
      </w:r>
    </w:p>
    <w:p>
      <w:r>
        <w:t>The quote flow must ensure the customer sees and accepts the price, FX, fees, recipient amount, and required disclosures before the transfer is submitted.</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720"/>
            <w:shd w:fill="D9EAF7"/>
            <w:vAlign w:val="center"/>
          </w:tcPr>
          <w:p>
            <w:r/>
            <w:r>
              <w:rPr>
                <w:b/>
                <w:sz w:val="17"/>
              </w:rPr>
              <w:t>Order</w:t>
            </w:r>
          </w:p>
        </w:tc>
        <w:tc>
          <w:tcPr>
            <w:tcW w:type="dxa" w:w="2880"/>
            <w:shd w:fill="D9EAF7"/>
            <w:vAlign w:val="center"/>
          </w:tcPr>
          <w:p>
            <w:r/>
            <w:r>
              <w:rPr>
                <w:b/>
                <w:sz w:val="17"/>
              </w:rPr>
              <w:t>Action</w:t>
            </w:r>
          </w:p>
        </w:tc>
        <w:tc>
          <w:tcPr>
            <w:tcW w:type="dxa" w:w="3168"/>
            <w:shd w:fill="D9EAF7"/>
            <w:vAlign w:val="center"/>
          </w:tcPr>
          <w:p>
            <w:r/>
            <w:r>
              <w:rPr>
                <w:b/>
                <w:sz w:val="17"/>
              </w:rPr>
              <w:t>Endpoint / surface</w:t>
            </w:r>
          </w:p>
        </w:tc>
        <w:tc>
          <w:tcPr>
            <w:tcW w:type="dxa" w:w="3312"/>
            <w:shd w:fill="D9EAF7"/>
            <w:vAlign w:val="center"/>
          </w:tcPr>
          <w:p>
            <w:r/>
            <w:r>
              <w:rPr>
                <w:b/>
                <w:sz w:val="17"/>
              </w:rPr>
              <w:t>Expected result</w:t>
            </w:r>
          </w:p>
        </w:tc>
      </w:tr>
      <w:tr>
        <w:tc>
          <w:tcPr>
            <w:tcW w:type="dxa" w:w="720"/>
            <w:vAlign w:val="top"/>
          </w:tcPr>
          <w:p>
            <w:r/>
            <w:r>
              <w:rPr>
                <w:b w:val="0"/>
                <w:sz w:val="17"/>
              </w:rPr>
              <w:t>1</w:t>
            </w:r>
          </w:p>
        </w:tc>
        <w:tc>
          <w:tcPr>
            <w:tcW w:type="dxa" w:w="2880"/>
            <w:vAlign w:val="top"/>
          </w:tcPr>
          <w:p>
            <w:r/>
            <w:r>
              <w:rPr>
                <w:b w:val="0"/>
                <w:sz w:val="17"/>
              </w:rPr>
              <w:t>Create or retrieve quote according to partner pricing setup</w:t>
            </w:r>
          </w:p>
        </w:tc>
        <w:tc>
          <w:tcPr>
            <w:tcW w:type="dxa" w:w="3168"/>
            <w:vAlign w:val="top"/>
          </w:tcPr>
          <w:p>
            <w:r/>
            <w:r>
              <w:rPr>
                <w:b w:val="0"/>
                <w:sz w:val="17"/>
              </w:rPr>
              <w:t>Documented quote surface</w:t>
            </w:r>
          </w:p>
        </w:tc>
        <w:tc>
          <w:tcPr>
            <w:tcW w:type="dxa" w:w="3312"/>
            <w:vAlign w:val="top"/>
          </w:tcPr>
          <w:p>
            <w:r/>
            <w:r>
              <w:rPr>
                <w:b w:val="0"/>
                <w:sz w:val="17"/>
              </w:rPr>
              <w:t>Customer sees send amount, receive amount, FX, fees, total, corridor, and expiry.</w:t>
            </w:r>
          </w:p>
        </w:tc>
      </w:tr>
      <w:tr>
        <w:tc>
          <w:tcPr>
            <w:tcW w:type="dxa" w:w="720"/>
            <w:vAlign w:val="top"/>
          </w:tcPr>
          <w:p>
            <w:r/>
            <w:r>
              <w:rPr>
                <w:b w:val="0"/>
                <w:sz w:val="17"/>
              </w:rPr>
              <w:t>2</w:t>
            </w:r>
          </w:p>
        </w:tc>
        <w:tc>
          <w:tcPr>
            <w:tcW w:type="dxa" w:w="2880"/>
            <w:vAlign w:val="top"/>
          </w:tcPr>
          <w:p>
            <w:r/>
            <w:r>
              <w:rPr>
                <w:b w:val="0"/>
                <w:sz w:val="17"/>
              </w:rPr>
              <w:t>Retrieve disclosure</w:t>
            </w:r>
          </w:p>
        </w:tc>
        <w:tc>
          <w:tcPr>
            <w:tcW w:type="dxa" w:w="3168"/>
            <w:vAlign w:val="top"/>
          </w:tcPr>
          <w:p>
            <w:r/>
            <w:r>
              <w:rPr>
                <w:b w:val="0"/>
                <w:sz w:val="17"/>
              </w:rPr>
              <w:t>GET /v1/core/quotes/{quoteId}/disclosure</w:t>
            </w:r>
          </w:p>
        </w:tc>
        <w:tc>
          <w:tcPr>
            <w:tcW w:type="dxa" w:w="3312"/>
            <w:vAlign w:val="top"/>
          </w:tcPr>
          <w:p>
            <w:r/>
            <w:r>
              <w:rPr>
                <w:b w:val="0"/>
                <w:sz w:val="17"/>
              </w:rPr>
              <w:t>App displays required remittance disclosure before acceptance.</w:t>
            </w:r>
          </w:p>
        </w:tc>
      </w:tr>
      <w:tr>
        <w:tc>
          <w:tcPr>
            <w:tcW w:type="dxa" w:w="720"/>
            <w:vAlign w:val="top"/>
          </w:tcPr>
          <w:p>
            <w:r/>
            <w:r>
              <w:rPr>
                <w:b w:val="0"/>
                <w:sz w:val="17"/>
              </w:rPr>
              <w:t>3</w:t>
            </w:r>
          </w:p>
        </w:tc>
        <w:tc>
          <w:tcPr>
            <w:tcW w:type="dxa" w:w="2880"/>
            <w:vAlign w:val="top"/>
          </w:tcPr>
          <w:p>
            <w:r/>
            <w:r>
              <w:rPr>
                <w:b w:val="0"/>
                <w:sz w:val="17"/>
              </w:rPr>
              <w:t>Accept quote</w:t>
            </w:r>
          </w:p>
        </w:tc>
        <w:tc>
          <w:tcPr>
            <w:tcW w:type="dxa" w:w="3168"/>
            <w:vAlign w:val="top"/>
          </w:tcPr>
          <w:p>
            <w:r/>
            <w:r>
              <w:rPr>
                <w:b w:val="0"/>
                <w:sz w:val="17"/>
              </w:rPr>
              <w:t>POST /v1/core/quotes/{quoteId}/accept</w:t>
            </w:r>
          </w:p>
        </w:tc>
        <w:tc>
          <w:tcPr>
            <w:tcW w:type="dxa" w:w="3312"/>
            <w:vAlign w:val="top"/>
          </w:tcPr>
          <w:p>
            <w:r/>
            <w:r>
              <w:rPr>
                <w:b w:val="0"/>
                <w:sz w:val="17"/>
              </w:rPr>
              <w:t>YCMT validates quote, customer, partner, corridor, expiry, and eligibility before accepting.</w:t>
            </w:r>
          </w:p>
        </w:tc>
      </w:tr>
      <w:tr>
        <w:tc>
          <w:tcPr>
            <w:tcW w:type="dxa" w:w="720"/>
            <w:vAlign w:val="top"/>
          </w:tcPr>
          <w:p>
            <w:r/>
            <w:r>
              <w:rPr>
                <w:b w:val="0"/>
                <w:sz w:val="17"/>
              </w:rPr>
              <w:t>4</w:t>
            </w:r>
          </w:p>
        </w:tc>
        <w:tc>
          <w:tcPr>
            <w:tcW w:type="dxa" w:w="2880"/>
            <w:vAlign w:val="top"/>
          </w:tcPr>
          <w:p>
            <w:r/>
            <w:r>
              <w:rPr>
                <w:b w:val="0"/>
                <w:sz w:val="17"/>
              </w:rPr>
              <w:t>Handle expired quote</w:t>
            </w:r>
          </w:p>
        </w:tc>
        <w:tc>
          <w:tcPr>
            <w:tcW w:type="dxa" w:w="3168"/>
            <w:vAlign w:val="top"/>
          </w:tcPr>
          <w:p>
            <w:r/>
            <w:r>
              <w:rPr>
                <w:b w:val="0"/>
                <w:sz w:val="17"/>
              </w:rPr>
              <w:t>Error response, e.g. quote expired category</w:t>
            </w:r>
          </w:p>
        </w:tc>
        <w:tc>
          <w:tcPr>
            <w:tcW w:type="dxa" w:w="3312"/>
            <w:vAlign w:val="top"/>
          </w:tcPr>
          <w:p>
            <w:r/>
            <w:r>
              <w:rPr>
                <w:b w:val="0"/>
                <w:sz w:val="17"/>
              </w:rPr>
              <w:t>App asks customer to refresh price and restart acceptance with a fresh quote.</w:t>
            </w:r>
          </w:p>
        </w:tc>
      </w:tr>
    </w:tbl>
    <w:p>
      <w:pPr>
        <w:pStyle w:val="ListBullet"/>
      </w:pPr>
      <w:r>
        <w:t>Show the quote expiry clearly in the UI.</w:t>
      </w:r>
    </w:p>
    <w:p>
      <w:pPr>
        <w:pStyle w:val="ListBullet"/>
      </w:pPr>
      <w:r>
        <w:t>Do not reuse an expired quote.</w:t>
      </w:r>
    </w:p>
    <w:p>
      <w:pPr>
        <w:pStyle w:val="ListBullet"/>
      </w:pPr>
      <w:r>
        <w:t>Do not alter quote values after the customer has accepted them.</w:t>
      </w:r>
    </w:p>
    <w:p>
      <w:pPr>
        <w:pStyle w:val="ListBullet"/>
      </w:pPr>
      <w:r>
        <w:t>If the partner operates quote signing, follow the Security and Signing Guide for the exact signing process.</w:t>
      </w:r>
    </w:p>
    <w:p>
      <w:pPr>
        <w:pStyle w:val="Heading1"/>
      </w:pPr>
      <w:r>
        <w:t>10. Flow 6 - Transfer creation and confirmation</w:t>
      </w:r>
    </w:p>
    <w:p>
      <w:r>
        <w:t>The transfer flow starts only after the customer has accepted a valid quote and selected a valid beneficiary.</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720"/>
            <w:shd w:fill="D9EAF7"/>
            <w:vAlign w:val="center"/>
          </w:tcPr>
          <w:p>
            <w:r/>
            <w:r>
              <w:rPr>
                <w:b/>
                <w:sz w:val="17"/>
              </w:rPr>
              <w:t>Order</w:t>
            </w:r>
          </w:p>
        </w:tc>
        <w:tc>
          <w:tcPr>
            <w:tcW w:type="dxa" w:w="2592"/>
            <w:shd w:fill="D9EAF7"/>
            <w:vAlign w:val="center"/>
          </w:tcPr>
          <w:p>
            <w:r/>
            <w:r>
              <w:rPr>
                <w:b/>
                <w:sz w:val="17"/>
              </w:rPr>
              <w:t>Action</w:t>
            </w:r>
          </w:p>
        </w:tc>
        <w:tc>
          <w:tcPr>
            <w:tcW w:type="dxa" w:w="3168"/>
            <w:shd w:fill="D9EAF7"/>
            <w:vAlign w:val="center"/>
          </w:tcPr>
          <w:p>
            <w:r/>
            <w:r>
              <w:rPr>
                <w:b/>
                <w:sz w:val="17"/>
              </w:rPr>
              <w:t>Endpoint / surface</w:t>
            </w:r>
          </w:p>
        </w:tc>
        <w:tc>
          <w:tcPr>
            <w:tcW w:type="dxa" w:w="3600"/>
            <w:shd w:fill="D9EAF7"/>
            <w:vAlign w:val="center"/>
          </w:tcPr>
          <w:p>
            <w:r/>
            <w:r>
              <w:rPr>
                <w:b/>
                <w:sz w:val="17"/>
              </w:rPr>
              <w:t>Expected result</w:t>
            </w:r>
          </w:p>
        </w:tc>
      </w:tr>
      <w:tr>
        <w:tc>
          <w:tcPr>
            <w:tcW w:type="dxa" w:w="720"/>
            <w:vAlign w:val="top"/>
          </w:tcPr>
          <w:p>
            <w:r/>
            <w:r>
              <w:rPr>
                <w:b w:val="0"/>
                <w:sz w:val="17"/>
              </w:rPr>
              <w:t>1</w:t>
            </w:r>
          </w:p>
        </w:tc>
        <w:tc>
          <w:tcPr>
            <w:tcW w:type="dxa" w:w="2592"/>
            <w:vAlign w:val="top"/>
          </w:tcPr>
          <w:p>
            <w:r/>
            <w:r>
              <w:rPr>
                <w:b w:val="0"/>
                <w:sz w:val="17"/>
              </w:rPr>
              <w:t>Submit transfer</w:t>
            </w:r>
          </w:p>
        </w:tc>
        <w:tc>
          <w:tcPr>
            <w:tcW w:type="dxa" w:w="3168"/>
            <w:vAlign w:val="top"/>
          </w:tcPr>
          <w:p>
            <w:r/>
            <w:r>
              <w:rPr>
                <w:b w:val="0"/>
                <w:sz w:val="17"/>
              </w:rPr>
              <w:t>POST /v1/core/transfers/{transferId}/submit or documented submit endpoint</w:t>
            </w:r>
          </w:p>
        </w:tc>
        <w:tc>
          <w:tcPr>
            <w:tcW w:type="dxa" w:w="3600"/>
            <w:vAlign w:val="top"/>
          </w:tcPr>
          <w:p>
            <w:r/>
            <w:r>
              <w:rPr>
                <w:b w:val="0"/>
                <w:sz w:val="17"/>
              </w:rPr>
              <w:t>YCMT validates customer, quote, beneficiary, corridor, limits, and transfer rules.</w:t>
            </w:r>
          </w:p>
        </w:tc>
      </w:tr>
      <w:tr>
        <w:tc>
          <w:tcPr>
            <w:tcW w:type="dxa" w:w="720"/>
            <w:vAlign w:val="top"/>
          </w:tcPr>
          <w:p>
            <w:r/>
            <w:r>
              <w:rPr>
                <w:b w:val="0"/>
                <w:sz w:val="17"/>
              </w:rPr>
              <w:t>2</w:t>
            </w:r>
          </w:p>
        </w:tc>
        <w:tc>
          <w:tcPr>
            <w:tcW w:type="dxa" w:w="2592"/>
            <w:vAlign w:val="top"/>
          </w:tcPr>
          <w:p>
            <w:r/>
            <w:r>
              <w:rPr>
                <w:b w:val="0"/>
                <w:sz w:val="17"/>
              </w:rPr>
              <w:t>Retrieve transfer detail</w:t>
            </w:r>
          </w:p>
        </w:tc>
        <w:tc>
          <w:tcPr>
            <w:tcW w:type="dxa" w:w="3168"/>
            <w:vAlign w:val="top"/>
          </w:tcPr>
          <w:p>
            <w:r/>
            <w:r>
              <w:rPr>
                <w:b w:val="0"/>
                <w:sz w:val="17"/>
              </w:rPr>
              <w:t>GET /v1/core/transfers/{transferId}</w:t>
            </w:r>
          </w:p>
        </w:tc>
        <w:tc>
          <w:tcPr>
            <w:tcW w:type="dxa" w:w="3600"/>
            <w:vAlign w:val="top"/>
          </w:tcPr>
          <w:p>
            <w:r/>
            <w:r>
              <w:rPr>
                <w:b w:val="0"/>
                <w:sz w:val="17"/>
              </w:rPr>
              <w:t>App receives current transfer status and next customer action.</w:t>
            </w:r>
          </w:p>
        </w:tc>
      </w:tr>
      <w:tr>
        <w:tc>
          <w:tcPr>
            <w:tcW w:type="dxa" w:w="720"/>
            <w:vAlign w:val="top"/>
          </w:tcPr>
          <w:p>
            <w:r/>
            <w:r>
              <w:rPr>
                <w:b w:val="0"/>
                <w:sz w:val="17"/>
              </w:rPr>
              <w:t>3</w:t>
            </w:r>
          </w:p>
        </w:tc>
        <w:tc>
          <w:tcPr>
            <w:tcW w:type="dxa" w:w="2592"/>
            <w:vAlign w:val="top"/>
          </w:tcPr>
          <w:p>
            <w:r/>
            <w:r>
              <w:rPr>
                <w:b w:val="0"/>
                <w:sz w:val="17"/>
              </w:rPr>
              <w:t>Confirm transfer where required</w:t>
            </w:r>
          </w:p>
        </w:tc>
        <w:tc>
          <w:tcPr>
            <w:tcW w:type="dxa" w:w="3168"/>
            <w:vAlign w:val="top"/>
          </w:tcPr>
          <w:p>
            <w:r/>
            <w:r>
              <w:rPr>
                <w:b w:val="0"/>
                <w:sz w:val="17"/>
              </w:rPr>
              <w:t>POST /v1/core/transfers/{transferId}/confirm</w:t>
            </w:r>
          </w:p>
        </w:tc>
        <w:tc>
          <w:tcPr>
            <w:tcW w:type="dxa" w:w="3600"/>
            <w:vAlign w:val="top"/>
          </w:tcPr>
          <w:p>
            <w:r/>
            <w:r>
              <w:rPr>
                <w:b w:val="0"/>
                <w:sz w:val="17"/>
              </w:rPr>
              <w:t>Customer confirms through the protected confirmation mechanism.</w:t>
            </w:r>
          </w:p>
        </w:tc>
      </w:tr>
      <w:tr>
        <w:tc>
          <w:tcPr>
            <w:tcW w:type="dxa" w:w="720"/>
            <w:vAlign w:val="top"/>
          </w:tcPr>
          <w:p>
            <w:r/>
            <w:r>
              <w:rPr>
                <w:b w:val="0"/>
                <w:sz w:val="17"/>
              </w:rPr>
              <w:t>4</w:t>
            </w:r>
          </w:p>
        </w:tc>
        <w:tc>
          <w:tcPr>
            <w:tcW w:type="dxa" w:w="2592"/>
            <w:vAlign w:val="top"/>
          </w:tcPr>
          <w:p>
            <w:r/>
            <w:r>
              <w:rPr>
                <w:b w:val="0"/>
                <w:sz w:val="17"/>
              </w:rPr>
              <w:t>Handle confirmation challenge expiry</w:t>
            </w:r>
          </w:p>
        </w:tc>
        <w:tc>
          <w:tcPr>
            <w:tcW w:type="dxa" w:w="3168"/>
            <w:vAlign w:val="top"/>
          </w:tcPr>
          <w:p>
            <w:r/>
            <w:r>
              <w:rPr>
                <w:b w:val="0"/>
                <w:sz w:val="17"/>
              </w:rPr>
              <w:t>Documented error response</w:t>
            </w:r>
          </w:p>
        </w:tc>
        <w:tc>
          <w:tcPr>
            <w:tcW w:type="dxa" w:w="3600"/>
            <w:vAlign w:val="top"/>
          </w:tcPr>
          <w:p>
            <w:r/>
            <w:r>
              <w:rPr>
                <w:b w:val="0"/>
                <w:sz w:val="17"/>
              </w:rPr>
              <w:t>App asks customer to refresh transfer detail and repeat the confirmation step if allowed.</w:t>
            </w:r>
          </w:p>
        </w:tc>
      </w:tr>
    </w:tbl>
    <w:p>
      <w:pPr/>
      <w:r>
        <w:rPr>
          <w:b/>
          <w:color w:val="1F4E79"/>
        </w:rPr>
        <w:t xml:space="preserve">Confirmation control: </w:t>
      </w:r>
      <w:r>
        <w:t>The partner app must not simulate, skip, or replace YCMT transfer confirmation. If confirmation is required, the customer must complete the documented confirmation step.</w:t>
      </w:r>
    </w:p>
    <w:p>
      <w:pPr>
        <w:pStyle w:val="Heading1"/>
      </w:pPr>
      <w:r>
        <w:t>11. Flow 7 - Funding webview</w:t>
      </w:r>
    </w:p>
    <w:p>
      <w:r>
        <w:t>Funding is completed through a YCMT-provided flow. The partner app is the display host; YCMT controls the regulated funding process.</w:t>
      </w:r>
    </w:p>
    <w:tbl>
      <w:tblPr>
        <w:tblStyle w:val="TableGrid"/>
        <w:tblW w:type="auto" w:w="0"/>
        <w:jc w:val="center"/>
        <w:tblLook w:firstColumn="1" w:firstRow="1" w:lastColumn="0" w:lastRow="0" w:noHBand="0" w:noVBand="1" w:val="04A0"/>
      </w:tblPr>
      <w:tblGrid>
        <w:gridCol w:w="3408"/>
        <w:gridCol w:w="3408"/>
        <w:gridCol w:w="3408"/>
      </w:tblGrid>
      <w:tr>
        <w:tc>
          <w:tcPr>
            <w:tcW w:type="dxa" w:w="720"/>
            <w:shd w:fill="D9EAF7"/>
            <w:vAlign w:val="center"/>
          </w:tcPr>
          <w:p>
            <w:r/>
            <w:r>
              <w:rPr>
                <w:b/>
                <w:sz w:val="17"/>
              </w:rPr>
              <w:t>Order</w:t>
            </w:r>
          </w:p>
        </w:tc>
        <w:tc>
          <w:tcPr>
            <w:tcW w:type="dxa" w:w="2880"/>
            <w:shd w:fill="D9EAF7"/>
            <w:vAlign w:val="center"/>
          </w:tcPr>
          <w:p>
            <w:r/>
            <w:r>
              <w:rPr>
                <w:b/>
                <w:sz w:val="17"/>
              </w:rPr>
              <w:t>Action</w:t>
            </w:r>
          </w:p>
        </w:tc>
        <w:tc>
          <w:tcPr>
            <w:tcW w:type="dxa" w:w="6480"/>
            <w:shd w:fill="D9EAF7"/>
            <w:vAlign w:val="center"/>
          </w:tcPr>
          <w:p>
            <w:r/>
            <w:r>
              <w:rPr>
                <w:b/>
                <w:sz w:val="17"/>
              </w:rPr>
              <w:t>Partner app requirement</w:t>
            </w:r>
          </w:p>
        </w:tc>
      </w:tr>
      <w:tr>
        <w:tc>
          <w:tcPr>
            <w:tcW w:type="dxa" w:w="720"/>
            <w:vAlign w:val="top"/>
          </w:tcPr>
          <w:p>
            <w:r/>
            <w:r>
              <w:rPr>
                <w:b w:val="0"/>
                <w:sz w:val="17"/>
              </w:rPr>
              <w:t>1</w:t>
            </w:r>
          </w:p>
        </w:tc>
        <w:tc>
          <w:tcPr>
            <w:tcW w:type="dxa" w:w="2880"/>
            <w:vAlign w:val="top"/>
          </w:tcPr>
          <w:p>
            <w:r/>
            <w:r>
              <w:rPr>
                <w:b w:val="0"/>
                <w:sz w:val="17"/>
              </w:rPr>
              <w:t>Receive funding webview URL</w:t>
            </w:r>
          </w:p>
        </w:tc>
        <w:tc>
          <w:tcPr>
            <w:tcW w:type="dxa" w:w="6480"/>
            <w:vAlign w:val="top"/>
          </w:tcPr>
          <w:p>
            <w:r/>
            <w:r>
              <w:rPr>
                <w:b w:val="0"/>
                <w:sz w:val="17"/>
              </w:rPr>
              <w:t>Open the URL using the approved in-app browser or redirect pattern.</w:t>
            </w:r>
          </w:p>
        </w:tc>
      </w:tr>
      <w:tr>
        <w:tc>
          <w:tcPr>
            <w:tcW w:type="dxa" w:w="720"/>
            <w:vAlign w:val="top"/>
          </w:tcPr>
          <w:p>
            <w:r/>
            <w:r>
              <w:rPr>
                <w:b w:val="0"/>
                <w:sz w:val="17"/>
              </w:rPr>
              <w:t>2</w:t>
            </w:r>
          </w:p>
        </w:tc>
        <w:tc>
          <w:tcPr>
            <w:tcW w:type="dxa" w:w="2880"/>
            <w:vAlign w:val="top"/>
          </w:tcPr>
          <w:p>
            <w:r/>
            <w:r>
              <w:rPr>
                <w:b w:val="0"/>
                <w:sz w:val="17"/>
              </w:rPr>
              <w:t>Customer completes funding</w:t>
            </w:r>
          </w:p>
        </w:tc>
        <w:tc>
          <w:tcPr>
            <w:tcW w:type="dxa" w:w="6480"/>
            <w:vAlign w:val="top"/>
          </w:tcPr>
          <w:p>
            <w:r/>
            <w:r>
              <w:rPr>
                <w:b w:val="0"/>
                <w:sz w:val="17"/>
              </w:rPr>
              <w:t>Do not collect payment-card, bank, or funding credentials outside the YCMT flow.</w:t>
            </w:r>
          </w:p>
        </w:tc>
      </w:tr>
      <w:tr>
        <w:tc>
          <w:tcPr>
            <w:tcW w:type="dxa" w:w="720"/>
            <w:vAlign w:val="top"/>
          </w:tcPr>
          <w:p>
            <w:r/>
            <w:r>
              <w:rPr>
                <w:b w:val="0"/>
                <w:sz w:val="17"/>
              </w:rPr>
              <w:t>3</w:t>
            </w:r>
          </w:p>
        </w:tc>
        <w:tc>
          <w:tcPr>
            <w:tcW w:type="dxa" w:w="2880"/>
            <w:vAlign w:val="top"/>
          </w:tcPr>
          <w:p>
            <w:r/>
            <w:r>
              <w:rPr>
                <w:b w:val="0"/>
                <w:sz w:val="17"/>
              </w:rPr>
              <w:t>Webview closes or redirects</w:t>
            </w:r>
          </w:p>
        </w:tc>
        <w:tc>
          <w:tcPr>
            <w:tcW w:type="dxa" w:w="6480"/>
            <w:vAlign w:val="top"/>
          </w:tcPr>
          <w:p>
            <w:r/>
            <w:r>
              <w:rPr>
                <w:b w:val="0"/>
                <w:sz w:val="17"/>
              </w:rPr>
              <w:t>Use the documented completion/closure signal. Do not assume success solely because the webview closed.</w:t>
            </w:r>
          </w:p>
        </w:tc>
      </w:tr>
      <w:tr>
        <w:tc>
          <w:tcPr>
            <w:tcW w:type="dxa" w:w="720"/>
            <w:vAlign w:val="top"/>
          </w:tcPr>
          <w:p>
            <w:r/>
            <w:r>
              <w:rPr>
                <w:b w:val="0"/>
                <w:sz w:val="17"/>
              </w:rPr>
              <w:t>4</w:t>
            </w:r>
          </w:p>
        </w:tc>
        <w:tc>
          <w:tcPr>
            <w:tcW w:type="dxa" w:w="2880"/>
            <w:vAlign w:val="top"/>
          </w:tcPr>
          <w:p>
            <w:r/>
            <w:r>
              <w:rPr>
                <w:b w:val="0"/>
                <w:sz w:val="17"/>
              </w:rPr>
              <w:t>Poll transfer detail</w:t>
            </w:r>
          </w:p>
        </w:tc>
        <w:tc>
          <w:tcPr>
            <w:tcW w:type="dxa" w:w="6480"/>
            <w:vAlign w:val="top"/>
          </w:tcPr>
          <w:p>
            <w:r/>
            <w:r>
              <w:rPr>
                <w:b w:val="0"/>
                <w:sz w:val="17"/>
              </w:rPr>
              <w:t>Call GET /v1/core/transfers/{transferId} until the status confirms the funding outcome or further action is required.</w:t>
            </w:r>
          </w:p>
        </w:tc>
      </w:tr>
    </w:tbl>
    <w:p>
      <w:pPr>
        <w:pStyle w:val="ListBullet"/>
      </w:pPr>
      <w:r>
        <w:t>Do not store payment credentials unless explicitly approved in a separate documented PCI/payment-provider scope.</w:t>
      </w:r>
    </w:p>
    <w:p>
      <w:pPr>
        <w:pStyle w:val="ListBullet"/>
      </w:pPr>
      <w:r>
        <w:t>Always rely on YCMT transfer status for the authoritative funding outcome.</w:t>
      </w:r>
    </w:p>
    <w:p>
      <w:pPr>
        <w:pStyle w:val="ListBullet"/>
      </w:pPr>
      <w:r>
        <w:t>Show a pending message if funding confirmation is delayed.</w:t>
      </w:r>
    </w:p>
    <w:p>
      <w:pPr>
        <w:pStyle w:val="Heading1"/>
      </w:pPr>
      <w:r>
        <w:t>12. Flow 8 - Transfer status polling</w:t>
      </w:r>
    </w:p>
    <w:p>
      <w:r>
        <w:t>Use transfer polling to keep the customer informed. The transfer detail response is the authoritative source for what the partner app should show next.</w:t>
      </w:r>
    </w:p>
    <w:tbl>
      <w:tblPr>
        <w:tblStyle w:val="TableGrid"/>
        <w:tblW w:type="auto" w:w="0"/>
        <w:jc w:val="center"/>
        <w:tblLook w:firstColumn="1" w:firstRow="1" w:lastColumn="0" w:lastRow="0" w:noHBand="0" w:noVBand="1" w:val="04A0"/>
      </w:tblPr>
      <w:tblGrid>
        <w:gridCol w:w="5112"/>
        <w:gridCol w:w="5112"/>
      </w:tblGrid>
      <w:tr>
        <w:tc>
          <w:tcPr>
            <w:tcW w:type="dxa" w:w="2880"/>
            <w:shd w:fill="D9EAF7"/>
            <w:vAlign w:val="center"/>
          </w:tcPr>
          <w:p>
            <w:r/>
            <w:r>
              <w:rPr>
                <w:b/>
                <w:sz w:val="17"/>
              </w:rPr>
              <w:t>Status category</w:t>
            </w:r>
          </w:p>
        </w:tc>
        <w:tc>
          <w:tcPr>
            <w:tcW w:type="dxa" w:w="7200"/>
            <w:shd w:fill="D9EAF7"/>
            <w:vAlign w:val="center"/>
          </w:tcPr>
          <w:p>
            <w:r/>
            <w:r>
              <w:rPr>
                <w:b/>
                <w:sz w:val="17"/>
              </w:rPr>
              <w:t>Partner app behaviour</w:t>
            </w:r>
          </w:p>
        </w:tc>
      </w:tr>
      <w:tr>
        <w:tc>
          <w:tcPr>
            <w:tcW w:type="dxa" w:w="2880"/>
            <w:vAlign w:val="top"/>
          </w:tcPr>
          <w:p>
            <w:r/>
            <w:r>
              <w:rPr>
                <w:b w:val="0"/>
                <w:sz w:val="17"/>
              </w:rPr>
              <w:t>Action required</w:t>
            </w:r>
          </w:p>
        </w:tc>
        <w:tc>
          <w:tcPr>
            <w:tcW w:type="dxa" w:w="7200"/>
            <w:vAlign w:val="top"/>
          </w:tcPr>
          <w:p>
            <w:r/>
            <w:r>
              <w:rPr>
                <w:b w:val="0"/>
                <w:sz w:val="17"/>
              </w:rPr>
              <w:t>Prompt the customer to complete the indicated next step, such as confirmation, funding, or remediation.</w:t>
            </w:r>
          </w:p>
        </w:tc>
      </w:tr>
      <w:tr>
        <w:tc>
          <w:tcPr>
            <w:tcW w:type="dxa" w:w="2880"/>
            <w:vAlign w:val="top"/>
          </w:tcPr>
          <w:p>
            <w:r/>
            <w:r>
              <w:rPr>
                <w:b w:val="0"/>
                <w:sz w:val="17"/>
              </w:rPr>
              <w:t>In progress</w:t>
            </w:r>
          </w:p>
        </w:tc>
        <w:tc>
          <w:tcPr>
            <w:tcW w:type="dxa" w:w="7200"/>
            <w:vAlign w:val="top"/>
          </w:tcPr>
          <w:p>
            <w:r/>
            <w:r>
              <w:rPr>
                <w:b w:val="0"/>
                <w:sz w:val="17"/>
              </w:rPr>
              <w:t>Show progress. Poll at the documented interval and avoid aggressive polling.</w:t>
            </w:r>
          </w:p>
        </w:tc>
      </w:tr>
      <w:tr>
        <w:tc>
          <w:tcPr>
            <w:tcW w:type="dxa" w:w="2880"/>
            <w:vAlign w:val="top"/>
          </w:tcPr>
          <w:p>
            <w:r/>
            <w:r>
              <w:rPr>
                <w:b w:val="0"/>
                <w:sz w:val="17"/>
              </w:rPr>
              <w:t>Held for review</w:t>
            </w:r>
          </w:p>
        </w:tc>
        <w:tc>
          <w:tcPr>
            <w:tcW w:type="dxa" w:w="7200"/>
            <w:vAlign w:val="top"/>
          </w:tcPr>
          <w:p>
            <w:r/>
            <w:r>
              <w:rPr>
                <w:b w:val="0"/>
                <w:sz w:val="17"/>
              </w:rPr>
              <w:t>Show neutral pending wording. Do not state or imply the internal reason for the hold.</w:t>
            </w:r>
          </w:p>
        </w:tc>
      </w:tr>
      <w:tr>
        <w:tc>
          <w:tcPr>
            <w:tcW w:type="dxa" w:w="2880"/>
            <w:vAlign w:val="top"/>
          </w:tcPr>
          <w:p>
            <w:r/>
            <w:r>
              <w:rPr>
                <w:b w:val="0"/>
                <w:sz w:val="17"/>
              </w:rPr>
              <w:t>Completed / paid</w:t>
            </w:r>
          </w:p>
        </w:tc>
        <w:tc>
          <w:tcPr>
            <w:tcW w:type="dxa" w:w="7200"/>
            <w:vAlign w:val="top"/>
          </w:tcPr>
          <w:p>
            <w:r/>
            <w:r>
              <w:rPr>
                <w:b w:val="0"/>
                <w:sz w:val="17"/>
              </w:rPr>
              <w:t>Show completion and receipt details when returned by the API.</w:t>
            </w:r>
          </w:p>
        </w:tc>
      </w:tr>
      <w:tr>
        <w:tc>
          <w:tcPr>
            <w:tcW w:type="dxa" w:w="2880"/>
            <w:vAlign w:val="top"/>
          </w:tcPr>
          <w:p>
            <w:r/>
            <w:r>
              <w:rPr>
                <w:b w:val="0"/>
                <w:sz w:val="17"/>
              </w:rPr>
              <w:t>Canceled / refunded / failed</w:t>
            </w:r>
          </w:p>
        </w:tc>
        <w:tc>
          <w:tcPr>
            <w:tcW w:type="dxa" w:w="7200"/>
            <w:vAlign w:val="top"/>
          </w:tcPr>
          <w:p>
            <w:r/>
            <w:r>
              <w:rPr>
                <w:b w:val="0"/>
                <w:sz w:val="17"/>
              </w:rPr>
              <w:t>Show customer-safe outcome and next available action, such as refund status or support contact.</w:t>
            </w:r>
          </w:p>
        </w:tc>
      </w:tr>
    </w:tbl>
    <w:p>
      <w:pPr/>
      <w:r>
        <w:rPr>
          <w:b/>
          <w:color w:val="1F4E79"/>
        </w:rPr>
        <w:t xml:space="preserve">Polling discipline: </w:t>
      </w:r>
      <w:r>
        <w:t>Stop polling when the transfer reaches a terminal state. If the API returns a retry-after or rate-limit response, respect it.</w:t>
      </w:r>
    </w:p>
    <w:p>
      <w:pPr>
        <w:pStyle w:val="Heading1"/>
      </w:pPr>
      <w:r>
        <w:t>13. Flow 9 - Cancellation and refund handling</w:t>
      </w:r>
    </w:p>
    <w:p>
      <w:r>
        <w:t>Cancellation availability depends on the transfer state and network/payment-provider outcome. A cancellation request is not the same as a guaranteed cancellation.</w:t>
      </w:r>
    </w:p>
    <w:tbl>
      <w:tblPr>
        <w:tblStyle w:val="TableGrid"/>
        <w:tblW w:type="auto" w:w="0"/>
        <w:jc w:val="center"/>
        <w:tblLook w:firstColumn="1" w:firstRow="1" w:lastColumn="0" w:lastRow="0" w:noHBand="0" w:noVBand="1" w:val="04A0"/>
      </w:tblPr>
      <w:tblGrid>
        <w:gridCol w:w="3408"/>
        <w:gridCol w:w="3408"/>
        <w:gridCol w:w="3408"/>
      </w:tblGrid>
      <w:tr>
        <w:tc>
          <w:tcPr>
            <w:tcW w:type="dxa" w:w="720"/>
            <w:shd w:fill="D9EAF7"/>
            <w:vAlign w:val="center"/>
          </w:tcPr>
          <w:p>
            <w:r/>
            <w:r>
              <w:rPr>
                <w:b/>
                <w:sz w:val="17"/>
              </w:rPr>
              <w:t>Order</w:t>
            </w:r>
          </w:p>
        </w:tc>
        <w:tc>
          <w:tcPr>
            <w:tcW w:type="dxa" w:w="2880"/>
            <w:shd w:fill="D9EAF7"/>
            <w:vAlign w:val="center"/>
          </w:tcPr>
          <w:p>
            <w:r/>
            <w:r>
              <w:rPr>
                <w:b/>
                <w:sz w:val="17"/>
              </w:rPr>
              <w:t>Action</w:t>
            </w:r>
          </w:p>
        </w:tc>
        <w:tc>
          <w:tcPr>
            <w:tcW w:type="dxa" w:w="6480"/>
            <w:shd w:fill="D9EAF7"/>
            <w:vAlign w:val="center"/>
          </w:tcPr>
          <w:p>
            <w:r/>
            <w:r>
              <w:rPr>
                <w:b/>
                <w:sz w:val="17"/>
              </w:rPr>
              <w:t>Expected behaviour</w:t>
            </w:r>
          </w:p>
        </w:tc>
      </w:tr>
      <w:tr>
        <w:tc>
          <w:tcPr>
            <w:tcW w:type="dxa" w:w="720"/>
            <w:vAlign w:val="top"/>
          </w:tcPr>
          <w:p>
            <w:r/>
            <w:r>
              <w:rPr>
                <w:b w:val="0"/>
                <w:sz w:val="17"/>
              </w:rPr>
              <w:t>1</w:t>
            </w:r>
          </w:p>
        </w:tc>
        <w:tc>
          <w:tcPr>
            <w:tcW w:type="dxa" w:w="2880"/>
            <w:vAlign w:val="top"/>
          </w:tcPr>
          <w:p>
            <w:r/>
            <w:r>
              <w:rPr>
                <w:b w:val="0"/>
                <w:sz w:val="17"/>
              </w:rPr>
              <w:t>Customer requests cancellation</w:t>
            </w:r>
          </w:p>
        </w:tc>
        <w:tc>
          <w:tcPr>
            <w:tcW w:type="dxa" w:w="6480"/>
            <w:vAlign w:val="top"/>
          </w:tcPr>
          <w:p>
            <w:r/>
            <w:r>
              <w:rPr>
                <w:b w:val="0"/>
                <w:sz w:val="17"/>
              </w:rPr>
              <w:t>App checks current transfer detail and whether cancellation is available.</w:t>
            </w:r>
          </w:p>
        </w:tc>
      </w:tr>
      <w:tr>
        <w:tc>
          <w:tcPr>
            <w:tcW w:type="dxa" w:w="720"/>
            <w:vAlign w:val="top"/>
          </w:tcPr>
          <w:p>
            <w:r/>
            <w:r>
              <w:rPr>
                <w:b w:val="0"/>
                <w:sz w:val="17"/>
              </w:rPr>
              <w:t>2</w:t>
            </w:r>
          </w:p>
        </w:tc>
        <w:tc>
          <w:tcPr>
            <w:tcW w:type="dxa" w:w="2880"/>
            <w:vAlign w:val="top"/>
          </w:tcPr>
          <w:p>
            <w:r/>
            <w:r>
              <w:rPr>
                <w:b w:val="0"/>
                <w:sz w:val="17"/>
              </w:rPr>
              <w:t>Submit cancellation</w:t>
            </w:r>
          </w:p>
        </w:tc>
        <w:tc>
          <w:tcPr>
            <w:tcW w:type="dxa" w:w="6480"/>
            <w:vAlign w:val="top"/>
          </w:tcPr>
          <w:p>
            <w:r/>
            <w:r>
              <w:rPr>
                <w:b w:val="0"/>
                <w:sz w:val="17"/>
              </w:rPr>
              <w:t>Call the documented cancellation endpoint if cancellation is permitted.</w:t>
            </w:r>
          </w:p>
        </w:tc>
      </w:tr>
      <w:tr>
        <w:tc>
          <w:tcPr>
            <w:tcW w:type="dxa" w:w="720"/>
            <w:vAlign w:val="top"/>
          </w:tcPr>
          <w:p>
            <w:r/>
            <w:r>
              <w:rPr>
                <w:b w:val="0"/>
                <w:sz w:val="17"/>
              </w:rPr>
              <w:t>3</w:t>
            </w:r>
          </w:p>
        </w:tc>
        <w:tc>
          <w:tcPr>
            <w:tcW w:type="dxa" w:w="2880"/>
            <w:vAlign w:val="top"/>
          </w:tcPr>
          <w:p>
            <w:r/>
            <w:r>
              <w:rPr>
                <w:b w:val="0"/>
                <w:sz w:val="17"/>
              </w:rPr>
              <w:t>Poll transfer detail</w:t>
            </w:r>
          </w:p>
        </w:tc>
        <w:tc>
          <w:tcPr>
            <w:tcW w:type="dxa" w:w="6480"/>
            <w:vAlign w:val="top"/>
          </w:tcPr>
          <w:p>
            <w:r/>
            <w:r>
              <w:rPr>
                <w:b w:val="0"/>
                <w:sz w:val="17"/>
              </w:rPr>
              <w:t>Show pending cancellation while YCMT coordinates the outcome.</w:t>
            </w:r>
          </w:p>
        </w:tc>
      </w:tr>
      <w:tr>
        <w:tc>
          <w:tcPr>
            <w:tcW w:type="dxa" w:w="720"/>
            <w:vAlign w:val="top"/>
          </w:tcPr>
          <w:p>
            <w:r/>
            <w:r>
              <w:rPr>
                <w:b w:val="0"/>
                <w:sz w:val="17"/>
              </w:rPr>
              <w:t>4</w:t>
            </w:r>
          </w:p>
        </w:tc>
        <w:tc>
          <w:tcPr>
            <w:tcW w:type="dxa" w:w="2880"/>
            <w:vAlign w:val="top"/>
          </w:tcPr>
          <w:p>
            <w:r/>
            <w:r>
              <w:rPr>
                <w:b w:val="0"/>
                <w:sz w:val="17"/>
              </w:rPr>
              <w:t>Handle final outcome</w:t>
            </w:r>
          </w:p>
        </w:tc>
        <w:tc>
          <w:tcPr>
            <w:tcW w:type="dxa" w:w="6480"/>
            <w:vAlign w:val="top"/>
          </w:tcPr>
          <w:p>
            <w:r/>
            <w:r>
              <w:rPr>
                <w:b w:val="0"/>
                <w:sz w:val="17"/>
              </w:rPr>
              <w:t>Show canceled, not cancelable, refund pending, refund succeeded, or refund failed wording according to API response.</w:t>
            </w:r>
          </w:p>
        </w:tc>
      </w:tr>
    </w:tbl>
    <w:p>
      <w:pPr>
        <w:pStyle w:val="ListBullet"/>
      </w:pPr>
      <w:r>
        <w:t>Do not promise that a transfer can be canceled until the API confirms the cancellation outcome.</w:t>
      </w:r>
    </w:p>
    <w:p>
      <w:pPr>
        <w:pStyle w:val="ListBullet"/>
      </w:pPr>
      <w:r>
        <w:t>Do not promise refund timing unless returned or approved by YCMT.</w:t>
      </w:r>
    </w:p>
    <w:p>
      <w:pPr>
        <w:pStyle w:val="ListBullet"/>
      </w:pPr>
      <w:r>
        <w:t>Escalate unclear or disputed cancellation outcomes using the support process and correlation ID.</w:t>
      </w:r>
    </w:p>
    <w:p>
      <w:pPr>
        <w:pStyle w:val="Heading1"/>
      </w:pPr>
      <w:r>
        <w:t>14. Flow 10 - Customer status scenarios</w:t>
      </w:r>
    </w:p>
    <w:p>
      <w:r>
        <w:t>YCMT may return a customer status or remediation condition that affects what the customer can do. The partner app must handle these states without exposing internal reasons.</w:t>
      </w:r>
    </w:p>
    <w:tbl>
      <w:tblPr>
        <w:tblStyle w:val="TableGrid"/>
        <w:tblW w:type="auto" w:w="0"/>
        <w:jc w:val="center"/>
        <w:tblLook w:firstColumn="1" w:firstRow="1" w:lastColumn="0" w:lastRow="0" w:noHBand="0" w:noVBand="1" w:val="04A0"/>
      </w:tblPr>
      <w:tblGrid>
        <w:gridCol w:w="5112"/>
        <w:gridCol w:w="5112"/>
      </w:tblGrid>
      <w:tr>
        <w:tc>
          <w:tcPr>
            <w:tcW w:type="dxa" w:w="3456"/>
            <w:shd w:fill="D9EAF7"/>
            <w:vAlign w:val="center"/>
          </w:tcPr>
          <w:p>
            <w:r/>
            <w:r>
              <w:rPr>
                <w:b/>
                <w:sz w:val="17"/>
              </w:rPr>
              <w:t>Customer-facing condition</w:t>
            </w:r>
          </w:p>
        </w:tc>
        <w:tc>
          <w:tcPr>
            <w:tcW w:type="dxa" w:w="6624"/>
            <w:shd w:fill="D9EAF7"/>
            <w:vAlign w:val="center"/>
          </w:tcPr>
          <w:p>
            <w:r/>
            <w:r>
              <w:rPr>
                <w:b/>
                <w:sz w:val="17"/>
              </w:rPr>
              <w:t>What the partner app should do</w:t>
            </w:r>
          </w:p>
        </w:tc>
      </w:tr>
      <w:tr>
        <w:tc>
          <w:tcPr>
            <w:tcW w:type="dxa" w:w="3456"/>
            <w:vAlign w:val="top"/>
          </w:tcPr>
          <w:p>
            <w:r/>
            <w:r>
              <w:rPr>
                <w:b w:val="0"/>
                <w:sz w:val="17"/>
              </w:rPr>
              <w:t>Customer not yet ready to transact</w:t>
            </w:r>
          </w:p>
        </w:tc>
        <w:tc>
          <w:tcPr>
            <w:tcW w:type="dxa" w:w="6624"/>
            <w:vAlign w:val="top"/>
          </w:tcPr>
          <w:p>
            <w:r/>
            <w:r>
              <w:rPr>
                <w:b w:val="0"/>
                <w:sz w:val="17"/>
              </w:rPr>
              <w:t>Guide the customer to complete profile or KYC steps.</w:t>
            </w:r>
          </w:p>
        </w:tc>
      </w:tr>
      <w:tr>
        <w:tc>
          <w:tcPr>
            <w:tcW w:type="dxa" w:w="3456"/>
            <w:vAlign w:val="top"/>
          </w:tcPr>
          <w:p>
            <w:r/>
            <w:r>
              <w:rPr>
                <w:b w:val="0"/>
                <w:sz w:val="17"/>
              </w:rPr>
              <w:t>Customer valid and eligible</w:t>
            </w:r>
          </w:p>
        </w:tc>
        <w:tc>
          <w:tcPr>
            <w:tcW w:type="dxa" w:w="6624"/>
            <w:vAlign w:val="top"/>
          </w:tcPr>
          <w:p>
            <w:r/>
            <w:r>
              <w:rPr>
                <w:b w:val="0"/>
                <w:sz w:val="17"/>
              </w:rPr>
              <w:t>Allow normal transfer journey, subject to quote, beneficiary, corridor, and transfer checks.</w:t>
            </w:r>
          </w:p>
        </w:tc>
      </w:tr>
      <w:tr>
        <w:tc>
          <w:tcPr>
            <w:tcW w:type="dxa" w:w="3456"/>
            <w:vAlign w:val="top"/>
          </w:tcPr>
          <w:p>
            <w:r/>
            <w:r>
              <w:rPr>
                <w:b w:val="0"/>
                <w:sz w:val="17"/>
              </w:rPr>
              <w:t>Transfer accepted but held for review</w:t>
            </w:r>
          </w:p>
        </w:tc>
        <w:tc>
          <w:tcPr>
            <w:tcW w:type="dxa" w:w="6624"/>
            <w:vAlign w:val="top"/>
          </w:tcPr>
          <w:p>
            <w:r/>
            <w:r>
              <w:rPr>
                <w:b w:val="0"/>
                <w:sz w:val="17"/>
              </w:rPr>
              <w:t>Show neutral pending wording and continue status polling.</w:t>
            </w:r>
          </w:p>
        </w:tc>
      </w:tr>
      <w:tr>
        <w:tc>
          <w:tcPr>
            <w:tcW w:type="dxa" w:w="3456"/>
            <w:vAlign w:val="top"/>
          </w:tcPr>
          <w:p>
            <w:r/>
            <w:r>
              <w:rPr>
                <w:b w:val="0"/>
                <w:sz w:val="17"/>
              </w:rPr>
              <w:t>Customer action required</w:t>
            </w:r>
          </w:p>
        </w:tc>
        <w:tc>
          <w:tcPr>
            <w:tcW w:type="dxa" w:w="6624"/>
            <w:vAlign w:val="top"/>
          </w:tcPr>
          <w:p>
            <w:r/>
            <w:r>
              <w:rPr>
                <w:b w:val="0"/>
                <w:sz w:val="17"/>
              </w:rPr>
              <w:t>Show the remediation action returned by YCMT, such as updating documents or completing verification.</w:t>
            </w:r>
          </w:p>
        </w:tc>
      </w:tr>
      <w:tr>
        <w:tc>
          <w:tcPr>
            <w:tcW w:type="dxa" w:w="3456"/>
            <w:vAlign w:val="top"/>
          </w:tcPr>
          <w:p>
            <w:r/>
            <w:r>
              <w:rPr>
                <w:b w:val="0"/>
                <w:sz w:val="17"/>
              </w:rPr>
              <w:t>Customer cannot transact</w:t>
            </w:r>
          </w:p>
        </w:tc>
        <w:tc>
          <w:tcPr>
            <w:tcW w:type="dxa" w:w="6624"/>
            <w:vAlign w:val="top"/>
          </w:tcPr>
          <w:p>
            <w:r/>
            <w:r>
              <w:rPr>
                <w:b w:val="0"/>
                <w:sz w:val="17"/>
              </w:rPr>
              <w:t>Show generic support wording and provide approved support channel.</w:t>
            </w:r>
          </w:p>
        </w:tc>
      </w:tr>
      <w:tr>
        <w:tc>
          <w:tcPr>
            <w:tcW w:type="dxa" w:w="3456"/>
            <w:vAlign w:val="top"/>
          </w:tcPr>
          <w:p>
            <w:r/>
            <w:r>
              <w:rPr>
                <w:b w:val="0"/>
                <w:sz w:val="17"/>
              </w:rPr>
              <w:t>Customer relationship closed</w:t>
            </w:r>
          </w:p>
        </w:tc>
        <w:tc>
          <w:tcPr>
            <w:tcW w:type="dxa" w:w="6624"/>
            <w:vAlign w:val="top"/>
          </w:tcPr>
          <w:p>
            <w:r/>
            <w:r>
              <w:rPr>
                <w:b w:val="0"/>
                <w:sz w:val="17"/>
              </w:rPr>
              <w:t>Do not offer new transfers. Show approved support/contact wording only.</w:t>
            </w:r>
          </w:p>
        </w:tc>
      </w:tr>
    </w:tbl>
    <w:p>
      <w:pPr/>
      <w:r>
        <w:rPr>
          <w:b/>
          <w:color w:val="1F4E79"/>
        </w:rPr>
        <w:t xml:space="preserve">Do not disclose internal reasons: </w:t>
      </w:r>
      <w:r>
        <w:t>For blocked, closed, sanctions, fraud, AML, or review-related conditions, partner apps and partner staff must use approved generic wording. Do not guess, display, or disclose internal reasons or evidence.</w:t>
      </w:r>
    </w:p>
    <w:p>
      <w:pPr>
        <w:pStyle w:val="Heading1"/>
      </w:pPr>
      <w:r>
        <w:t>15. Recommended implementation order</w:t>
      </w:r>
    </w:p>
    <w:p>
      <w:pPr>
        <w:pStyle w:val="ListNumber"/>
      </w:pPr>
      <w:r>
        <w:t>Implement registration and login flows in sandbox.</w:t>
      </w:r>
    </w:p>
    <w:p>
      <w:pPr>
        <w:pStyle w:val="ListNumber"/>
      </w:pPr>
      <w:r>
        <w:t>Implement token storage, refresh, logout, and neutral authentication error handling.</w:t>
      </w:r>
    </w:p>
    <w:p>
      <w:pPr>
        <w:pStyle w:val="ListNumber"/>
      </w:pPr>
      <w:r>
        <w:t>Implement profile and KYC webview launch/return handling.</w:t>
      </w:r>
    </w:p>
    <w:p>
      <w:pPr>
        <w:pStyle w:val="ListNumber"/>
      </w:pPr>
      <w:r>
        <w:t>Implement beneficiary list/create/detail/archive.</w:t>
      </w:r>
    </w:p>
    <w:p>
      <w:pPr>
        <w:pStyle w:val="ListNumber"/>
      </w:pPr>
      <w:r>
        <w:t>Implement quote display, disclosure display, and quote acceptance.</w:t>
      </w:r>
    </w:p>
    <w:p>
      <w:pPr>
        <w:pStyle w:val="ListNumber"/>
      </w:pPr>
      <w:r>
        <w:t>Implement transfer submit, confirmation, funding webview, and status polling.</w:t>
      </w:r>
    </w:p>
    <w:p>
      <w:pPr>
        <w:pStyle w:val="ListNumber"/>
      </w:pPr>
      <w:r>
        <w:t>Implement cancellation and refund-facing status handling.</w:t>
      </w:r>
    </w:p>
    <w:p>
      <w:pPr>
        <w:pStyle w:val="ListNumber"/>
      </w:pPr>
      <w:r>
        <w:t>Implement error, remediation, idempotency, pagination, and rate-limit handling.</w:t>
      </w:r>
    </w:p>
    <w:p>
      <w:pPr>
        <w:pStyle w:val="ListNumber"/>
      </w:pPr>
      <w:r>
        <w:t>Run the Sandbox and Go-Live Guide test suite.</w:t>
      </w:r>
    </w:p>
    <w:p>
      <w:pPr>
        <w:pStyle w:val="ListNumber"/>
      </w:pPr>
      <w:r>
        <w:t>Submit evidence and activate production credentials only after YCMT confirms readiness.</w:t>
      </w:r>
    </w:p>
    <w:p>
      <w:pPr>
        <w:pStyle w:val="Heading1"/>
      </w:pPr>
      <w:r>
        <w:t>16. Partner developer checklist</w:t>
      </w:r>
    </w:p>
    <w:tbl>
      <w:tblPr>
        <w:tblStyle w:val="TableGrid"/>
        <w:tblW w:type="auto" w:w="0"/>
        <w:jc w:val="center"/>
        <w:tblLook w:firstColumn="1" w:firstRow="1" w:lastColumn="0" w:lastRow="0" w:noHBand="0" w:noVBand="1" w:val="04A0"/>
      </w:tblPr>
      <w:tblGrid>
        <w:gridCol w:w="5112"/>
        <w:gridCol w:w="5112"/>
      </w:tblGrid>
      <w:tr>
        <w:tc>
          <w:tcPr>
            <w:tcW w:type="dxa" w:w="2304"/>
            <w:shd w:fill="D9EAF7"/>
            <w:vAlign w:val="center"/>
          </w:tcPr>
          <w:p>
            <w:r/>
            <w:r>
              <w:rPr>
                <w:b/>
                <w:sz w:val="17"/>
              </w:rPr>
              <w:t>Area</w:t>
            </w:r>
          </w:p>
        </w:tc>
        <w:tc>
          <w:tcPr>
            <w:tcW w:type="dxa" w:w="7776"/>
            <w:shd w:fill="D9EAF7"/>
            <w:vAlign w:val="center"/>
          </w:tcPr>
          <w:p>
            <w:r/>
            <w:r>
              <w:rPr>
                <w:b/>
                <w:sz w:val="17"/>
              </w:rPr>
              <w:t>Minimum readiness check</w:t>
            </w:r>
          </w:p>
        </w:tc>
      </w:tr>
      <w:tr>
        <w:tc>
          <w:tcPr>
            <w:tcW w:type="dxa" w:w="2304"/>
            <w:vAlign w:val="top"/>
          </w:tcPr>
          <w:p>
            <w:r/>
            <w:r>
              <w:rPr>
                <w:b w:val="0"/>
                <w:sz w:val="17"/>
              </w:rPr>
              <w:t>Authentication</w:t>
            </w:r>
          </w:p>
        </w:tc>
        <w:tc>
          <w:tcPr>
            <w:tcW w:type="dxa" w:w="7776"/>
            <w:vAlign w:val="top"/>
          </w:tcPr>
          <w:p>
            <w:r/>
            <w:r>
              <w:rPr>
                <w:b w:val="0"/>
                <w:sz w:val="17"/>
              </w:rPr>
              <w:t>Customer can register, log in, refresh, and log out in sandbox.</w:t>
            </w:r>
          </w:p>
        </w:tc>
      </w:tr>
      <w:tr>
        <w:tc>
          <w:tcPr>
            <w:tcW w:type="dxa" w:w="2304"/>
            <w:vAlign w:val="top"/>
          </w:tcPr>
          <w:p>
            <w:r/>
            <w:r>
              <w:rPr>
                <w:b w:val="0"/>
                <w:sz w:val="17"/>
              </w:rPr>
              <w:t>KYC</w:t>
            </w:r>
          </w:p>
        </w:tc>
        <w:tc>
          <w:tcPr>
            <w:tcW w:type="dxa" w:w="7776"/>
            <w:vAlign w:val="top"/>
          </w:tcPr>
          <w:p>
            <w:r/>
            <w:r>
              <w:rPr>
                <w:b w:val="0"/>
                <w:sz w:val="17"/>
              </w:rPr>
              <w:t>App can launch KYC webview and handle pending, success, and remediation outcomes.</w:t>
            </w:r>
          </w:p>
        </w:tc>
      </w:tr>
      <w:tr>
        <w:tc>
          <w:tcPr>
            <w:tcW w:type="dxa" w:w="2304"/>
            <w:vAlign w:val="top"/>
          </w:tcPr>
          <w:p>
            <w:r/>
            <w:r>
              <w:rPr>
                <w:b w:val="0"/>
                <w:sz w:val="17"/>
              </w:rPr>
              <w:t>Beneficiaries</w:t>
            </w:r>
          </w:p>
        </w:tc>
        <w:tc>
          <w:tcPr>
            <w:tcW w:type="dxa" w:w="7776"/>
            <w:vAlign w:val="top"/>
          </w:tcPr>
          <w:p>
            <w:r/>
            <w:r>
              <w:rPr>
                <w:b w:val="0"/>
                <w:sz w:val="17"/>
              </w:rPr>
              <w:t>App validates and displays beneficiary details correctly.</w:t>
            </w:r>
          </w:p>
        </w:tc>
      </w:tr>
      <w:tr>
        <w:tc>
          <w:tcPr>
            <w:tcW w:type="dxa" w:w="2304"/>
            <w:vAlign w:val="top"/>
          </w:tcPr>
          <w:p>
            <w:r/>
            <w:r>
              <w:rPr>
                <w:b w:val="0"/>
                <w:sz w:val="17"/>
              </w:rPr>
              <w:t>Quotes</w:t>
            </w:r>
          </w:p>
        </w:tc>
        <w:tc>
          <w:tcPr>
            <w:tcW w:type="dxa" w:w="7776"/>
            <w:vAlign w:val="top"/>
          </w:tcPr>
          <w:p>
            <w:r/>
            <w:r>
              <w:rPr>
                <w:b w:val="0"/>
                <w:sz w:val="17"/>
              </w:rPr>
              <w:t>App displays price, FX, fees, expiry, and disclosure before acceptance.</w:t>
            </w:r>
          </w:p>
        </w:tc>
      </w:tr>
      <w:tr>
        <w:tc>
          <w:tcPr>
            <w:tcW w:type="dxa" w:w="2304"/>
            <w:vAlign w:val="top"/>
          </w:tcPr>
          <w:p>
            <w:r/>
            <w:r>
              <w:rPr>
                <w:b w:val="0"/>
                <w:sz w:val="17"/>
              </w:rPr>
              <w:t>Transfers</w:t>
            </w:r>
          </w:p>
        </w:tc>
        <w:tc>
          <w:tcPr>
            <w:tcW w:type="dxa" w:w="7776"/>
            <w:vAlign w:val="top"/>
          </w:tcPr>
          <w:p>
            <w:r/>
            <w:r>
              <w:rPr>
                <w:b w:val="0"/>
                <w:sz w:val="17"/>
              </w:rPr>
              <w:t>App supports submit, confirm, funding, polling, and terminal outcomes.</w:t>
            </w:r>
          </w:p>
        </w:tc>
      </w:tr>
      <w:tr>
        <w:tc>
          <w:tcPr>
            <w:tcW w:type="dxa" w:w="2304"/>
            <w:vAlign w:val="top"/>
          </w:tcPr>
          <w:p>
            <w:r/>
            <w:r>
              <w:rPr>
                <w:b w:val="0"/>
                <w:sz w:val="17"/>
              </w:rPr>
              <w:t>Errors</w:t>
            </w:r>
          </w:p>
        </w:tc>
        <w:tc>
          <w:tcPr>
            <w:tcW w:type="dxa" w:w="7776"/>
            <w:vAlign w:val="top"/>
          </w:tcPr>
          <w:p>
            <w:r/>
            <w:r>
              <w:rPr>
                <w:b w:val="0"/>
                <w:sz w:val="17"/>
              </w:rPr>
              <w:t>App handles retryable, non-retryable, remediation, and rate-limit responses.</w:t>
            </w:r>
          </w:p>
        </w:tc>
      </w:tr>
      <w:tr>
        <w:tc>
          <w:tcPr>
            <w:tcW w:type="dxa" w:w="2304"/>
            <w:vAlign w:val="top"/>
          </w:tcPr>
          <w:p>
            <w:r/>
            <w:r>
              <w:rPr>
                <w:b w:val="0"/>
                <w:sz w:val="17"/>
              </w:rPr>
              <w:t>Security</w:t>
            </w:r>
          </w:p>
        </w:tc>
        <w:tc>
          <w:tcPr>
            <w:tcW w:type="dxa" w:w="7776"/>
            <w:vAlign w:val="top"/>
          </w:tcPr>
          <w:p>
            <w:r/>
            <w:r>
              <w:rPr>
                <w:b w:val="0"/>
                <w:sz w:val="17"/>
              </w:rPr>
              <w:t>Tokens and signing keys are protected and sensitive values are not logged.</w:t>
            </w:r>
          </w:p>
        </w:tc>
      </w:tr>
      <w:tr>
        <w:tc>
          <w:tcPr>
            <w:tcW w:type="dxa" w:w="2304"/>
            <w:vAlign w:val="top"/>
          </w:tcPr>
          <w:p>
            <w:r/>
            <w:r>
              <w:rPr>
                <w:b w:val="0"/>
                <w:sz w:val="17"/>
              </w:rPr>
              <w:t>Support</w:t>
            </w:r>
          </w:p>
        </w:tc>
        <w:tc>
          <w:tcPr>
            <w:tcW w:type="dxa" w:w="7776"/>
            <w:vAlign w:val="top"/>
          </w:tcPr>
          <w:p>
            <w:r/>
            <w:r>
              <w:rPr>
                <w:b w:val="0"/>
                <w:sz w:val="17"/>
              </w:rPr>
              <w:t>Correlation IDs are logged and support escalation path is implemented.</w:t>
            </w:r>
          </w:p>
        </w:tc>
      </w:tr>
    </w:tbl>
    <w:p>
      <w:pPr>
        <w:pStyle w:val="Heading1"/>
      </w:pPr>
      <w:r>
        <w:t>17. Related partner developer documents</w:t>
      </w:r>
    </w:p>
    <w:tbl>
      <w:tblPr>
        <w:tblStyle w:val="TableGrid"/>
        <w:tblW w:type="auto" w:w="0"/>
        <w:jc w:val="center"/>
        <w:tblLook w:firstColumn="1" w:firstRow="1" w:lastColumn="0" w:lastRow="0" w:noHBand="0" w:noVBand="1" w:val="04A0"/>
      </w:tblPr>
      <w:tblGrid>
        <w:gridCol w:w="5112"/>
        <w:gridCol w:w="5112"/>
      </w:tblGrid>
      <w:tr>
        <w:tc>
          <w:tcPr>
            <w:tcW w:type="dxa" w:w="3312"/>
            <w:shd w:fill="D9EAF7"/>
            <w:vAlign w:val="center"/>
          </w:tcPr>
          <w:p>
            <w:r/>
            <w:r>
              <w:rPr>
                <w:b/>
                <w:sz w:val="17"/>
              </w:rPr>
              <w:t>Document</w:t>
            </w:r>
          </w:p>
        </w:tc>
        <w:tc>
          <w:tcPr>
            <w:tcW w:type="dxa" w:w="6768"/>
            <w:shd w:fill="D9EAF7"/>
            <w:vAlign w:val="center"/>
          </w:tcPr>
          <w:p>
            <w:r/>
            <w:r>
              <w:rPr>
                <w:b/>
                <w:sz w:val="17"/>
              </w:rPr>
              <w:t>When to use it</w:t>
            </w:r>
          </w:p>
        </w:tc>
      </w:tr>
      <w:tr>
        <w:tc>
          <w:tcPr>
            <w:tcW w:type="dxa" w:w="3312"/>
            <w:vAlign w:val="top"/>
          </w:tcPr>
          <w:p>
            <w:r/>
            <w:r>
              <w:rPr>
                <w:b w:val="0"/>
                <w:sz w:val="17"/>
              </w:rPr>
              <w:t>Getting Started Guide</w:t>
            </w:r>
          </w:p>
        </w:tc>
        <w:tc>
          <w:tcPr>
            <w:tcW w:type="dxa" w:w="6768"/>
            <w:vAlign w:val="top"/>
          </w:tcPr>
          <w:p>
            <w:r/>
            <w:r>
              <w:rPr>
                <w:b w:val="0"/>
                <w:sz w:val="17"/>
              </w:rPr>
              <w:t>Before reading this guide; gives the integration overview and first calls.</w:t>
            </w:r>
          </w:p>
        </w:tc>
      </w:tr>
      <w:tr>
        <w:tc>
          <w:tcPr>
            <w:tcW w:type="dxa" w:w="3312"/>
            <w:vAlign w:val="top"/>
          </w:tcPr>
          <w:p>
            <w:r/>
            <w:r>
              <w:rPr>
                <w:b w:val="0"/>
                <w:sz w:val="17"/>
              </w:rPr>
              <w:t>API Guide</w:t>
            </w:r>
          </w:p>
        </w:tc>
        <w:tc>
          <w:tcPr>
            <w:tcW w:type="dxa" w:w="6768"/>
            <w:vAlign w:val="top"/>
          </w:tcPr>
          <w:p>
            <w:r/>
            <w:r>
              <w:rPr>
                <w:b w:val="0"/>
                <w:sz w:val="17"/>
              </w:rPr>
              <w:t>When implementing individual endpoints and request/response schemas.</w:t>
            </w:r>
          </w:p>
        </w:tc>
      </w:tr>
      <w:tr>
        <w:tc>
          <w:tcPr>
            <w:tcW w:type="dxa" w:w="3312"/>
            <w:vAlign w:val="top"/>
          </w:tcPr>
          <w:p>
            <w:r/>
            <w:r>
              <w:rPr>
                <w:b w:val="0"/>
                <w:sz w:val="17"/>
              </w:rPr>
              <w:t>Errors, Statuses, and Retry Guide</w:t>
            </w:r>
          </w:p>
        </w:tc>
        <w:tc>
          <w:tcPr>
            <w:tcW w:type="dxa" w:w="6768"/>
            <w:vAlign w:val="top"/>
          </w:tcPr>
          <w:p>
            <w:r/>
            <w:r>
              <w:rPr>
                <w:b w:val="0"/>
                <w:sz w:val="17"/>
              </w:rPr>
              <w:t>When implementing resilience, remediation, idempotency, pagination, and rate-limit behaviour.</w:t>
            </w:r>
          </w:p>
        </w:tc>
      </w:tr>
      <w:tr>
        <w:tc>
          <w:tcPr>
            <w:tcW w:type="dxa" w:w="3312"/>
            <w:vAlign w:val="top"/>
          </w:tcPr>
          <w:p>
            <w:r/>
            <w:r>
              <w:rPr>
                <w:b w:val="0"/>
                <w:sz w:val="17"/>
              </w:rPr>
              <w:t>Security and Signing Guide</w:t>
            </w:r>
          </w:p>
        </w:tc>
        <w:tc>
          <w:tcPr>
            <w:tcW w:type="dxa" w:w="6768"/>
            <w:vAlign w:val="top"/>
          </w:tcPr>
          <w:p>
            <w:r/>
            <w:r>
              <w:rPr>
                <w:b w:val="0"/>
                <w:sz w:val="17"/>
              </w:rPr>
              <w:t>When implementing device confirmation, quote signing, webhook verification, and token handling.</w:t>
            </w:r>
          </w:p>
        </w:tc>
      </w:tr>
      <w:tr>
        <w:tc>
          <w:tcPr>
            <w:tcW w:type="dxa" w:w="3312"/>
            <w:vAlign w:val="top"/>
          </w:tcPr>
          <w:p>
            <w:r/>
            <w:r>
              <w:rPr>
                <w:b w:val="0"/>
                <w:sz w:val="17"/>
              </w:rPr>
              <w:t>Sandbox and Go-Live Guide</w:t>
            </w:r>
          </w:p>
        </w:tc>
        <w:tc>
          <w:tcPr>
            <w:tcW w:type="dxa" w:w="6768"/>
            <w:vAlign w:val="top"/>
          </w:tcPr>
          <w:p>
            <w:r/>
            <w:r>
              <w:rPr>
                <w:b w:val="0"/>
                <w:sz w:val="17"/>
              </w:rPr>
              <w:t>When preparing test evidence and production activation.</w:t>
            </w:r>
          </w:p>
        </w:tc>
      </w:tr>
      <w:tr>
        <w:tc>
          <w:tcPr>
            <w:tcW w:type="dxa" w:w="3312"/>
            <w:vAlign w:val="top"/>
          </w:tcPr>
          <w:p>
            <w:r/>
            <w:r>
              <w:rPr>
                <w:b w:val="0"/>
                <w:sz w:val="17"/>
              </w:rPr>
              <w:t>OpenAPI and Postman Pack</w:t>
            </w:r>
          </w:p>
        </w:tc>
        <w:tc>
          <w:tcPr>
            <w:tcW w:type="dxa" w:w="6768"/>
            <w:vAlign w:val="top"/>
          </w:tcPr>
          <w:p>
            <w:r/>
            <w:r>
              <w:rPr>
                <w:b w:val="0"/>
                <w:sz w:val="17"/>
              </w:rPr>
              <w:t>When generating clients or running executable examples.</w:t>
            </w:r>
          </w:p>
        </w:tc>
      </w:tr>
    </w:tbl>
    <w:p>
      <w:pPr>
        <w:pStyle w:val="Heading1"/>
      </w:pPr>
      <w:r>
        <w:t>18. Boundary reminder</w:t>
      </w:r>
    </w:p>
    <w:p>
      <w:r>
        <w:t>The partner app provides the branded customer experience. YCMT controls customer authentication, customer eligibility, KYC and AML decisions, transaction approval, funding flow, settlement, transfer status, and regulatory liability. Partner developers must not design flows that bypass the customer-context API or allow partner systems to create or execute transfers without the customer completing the documented YCMT flow.</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Confidential - for approved YCMT EU partner developers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5A5A5A"/>
        <w:sz w:val="16"/>
      </w:rPr>
      <w:t>YCMT EU Partner Developer Documentation | Flows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pPr>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ptos" w:hAnsi="Aptos" w:eastAsia="Aptos"/>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w:hAnsi="Aptos" w:eastAsia="Aptos"/>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80" w:line="240" w:lineRule="auto" w:before="0"/>
      <w:contextualSpacing/>
    </w:pPr>
    <w:rPr>
      <w:rFonts w:asciiTheme="majorHAnsi" w:eastAsiaTheme="majorEastAsia" w:hAnsiTheme="majorHAnsi" w:cstheme="majorBidi" w:ascii="Aptos Display" w:hAnsi="Aptos Display" w:eastAsia="Aptos Display"/>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YCMT EU Partner Developer Flows Guide</dc:title>
  <dc:subject>Partner developer documentation</dc:subject>
  <dc:creator>YesCash Group</dc:creator>
  <cp:keywords/>
  <dc:description>Partner-safe documentation. No internal implementation details.</dc:description>
  <cp:lastModifiedBy/>
  <cp:revision>1</cp:revision>
  <dcterms:created xsi:type="dcterms:W3CDTF">2013-12-23T23:15:00Z</dcterms:created>
  <dcterms:modified xsi:type="dcterms:W3CDTF">2013-12-23T23:15:00Z</dcterms:modified>
  <cp:category/>
</cp:coreProperties>
</file>